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2021/00001804W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HERNANDEZ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LIMITADA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SEGUNDA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4706"/>
      </w:pPr>
      <w:r>
        <w:rPr/>
        <w:t>En</w:t>
      </w:r>
      <w:r>
        <w:rPr>
          <w:spacing w:val="-2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1183, de fecha 12 de marzo de</w:t>
      </w:r>
      <w:r>
        <w:rPr>
          <w:spacing w:val="1"/>
        </w:rPr>
        <w:t> </w:t>
      </w:r>
      <w:r>
        <w:rPr/>
        <w:t>2021, rectificado por Decreto de la Presidencia número 1233, de fecha 19 de marzo de 2021,</w:t>
      </w:r>
      <w:r>
        <w:rPr>
          <w:spacing w:val="1"/>
        </w:rPr>
        <w:t> </w:t>
      </w:r>
      <w:r>
        <w:rPr/>
        <w:t>facultada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acto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CAB/2021/6058,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2"/>
        </w:rPr>
        <w:t> </w:t>
      </w:r>
      <w:r>
        <w:rPr/>
        <w:t>04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 una apuesta por priorizar un sistema de desplazamientos claramente sostenible frente al</w:t>
      </w:r>
      <w:r>
        <w:rPr>
          <w:spacing w:val="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contribuye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minimizar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negativos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medioambiente,</w:t>
      </w:r>
      <w:r>
        <w:rPr>
          <w:spacing w:val="-1"/>
        </w:rPr>
        <w:t> </w:t>
      </w:r>
      <w:r>
        <w:rPr/>
        <w:t>el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5"/>
        <w:jc w:val="both"/>
      </w:pP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Segunda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Segunda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Adenda al Convenio de</w:t>
      </w:r>
      <w:r>
        <w:rPr>
          <w:spacing w:val="1"/>
        </w:rPr>
        <w:t> </w:t>
      </w:r>
      <w:r>
        <w:rPr/>
        <w:t>Colaboración,</w:t>
      </w:r>
      <w:r>
        <w:rPr>
          <w:spacing w:val="-2"/>
        </w:rPr>
        <w:t> </w:t>
      </w:r>
      <w:r>
        <w:rPr/>
        <w:t>formalizándose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Heading1"/>
        <w:ind w:left="3818" w:right="4000"/>
      </w:pPr>
      <w:r>
        <w:rPr/>
        <w:t>CLÁUSULAS</w:t>
      </w:r>
    </w:p>
    <w:p>
      <w:pPr>
        <w:pStyle w:val="BodyText"/>
        <w:rPr>
          <w:b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PRIMERO: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 procedentes de los créditos consignados en la aplicación presupuestaria 140 4400E 47202,</w:t>
      </w:r>
      <w:r>
        <w:rPr>
          <w:spacing w:val="1"/>
        </w:rPr>
        <w:t> </w:t>
      </w:r>
      <w:r>
        <w:rPr/>
        <w:t>con</w:t>
      </w:r>
      <w:r>
        <w:rPr>
          <w:spacing w:val="9"/>
        </w:rPr>
        <w:t> </w:t>
      </w:r>
      <w:r>
        <w:rPr/>
        <w:t>documento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retención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números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operaciones</w:t>
      </w:r>
      <w:r>
        <w:rPr>
          <w:spacing w:val="9"/>
        </w:rPr>
        <w:t> </w:t>
      </w:r>
      <w:r>
        <w:rPr/>
        <w:t>220210001926,</w:t>
      </w:r>
      <w:r>
        <w:rPr>
          <w:spacing w:val="9"/>
        </w:rPr>
        <w:t> </w:t>
      </w:r>
      <w:r>
        <w:rPr/>
        <w:t>220210017633</w:t>
      </w:r>
      <w:r>
        <w:rPr>
          <w:spacing w:val="-53"/>
        </w:rPr>
        <w:t> </w:t>
      </w:r>
      <w:r>
        <w:rPr/>
        <w:t>y 220210032301 por importes de 697.221,36€, 664.389,69€ y 500.000,00€, respectivamente, 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firstLine="709"/>
      </w:pP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prueba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5"/>
        </w:rPr>
        <w:t> </w:t>
      </w:r>
      <w:r>
        <w:rPr/>
        <w:t>firman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documento,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985" w:footer="309" w:top="1820" w:bottom="500" w:left="1280" w:right="1280"/>
        </w:sectPr>
      </w:pPr>
    </w:p>
    <w:p>
      <w:pPr>
        <w:spacing w:line="211" w:lineRule="auto" w:before="113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04/11/2021 a las</w:t>
      </w:r>
      <w:r>
        <w:rPr>
          <w:spacing w:val="-39"/>
          <w:sz w:val="15"/>
        </w:rPr>
        <w:t> </w:t>
      </w:r>
      <w:r>
        <w:rPr>
          <w:sz w:val="15"/>
        </w:rPr>
        <w:t>11:33:19</w:t>
      </w:r>
    </w:p>
    <w:p>
      <w:pPr>
        <w:spacing w:line="211" w:lineRule="auto" w:before="1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spacing w:line="216" w:lineRule="auto" w:before="145"/>
        <w:ind w:left="160" w:right="1651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2021.11.08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12:22:16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4176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13523554253271342567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2022-06-27T14:34:30Z</dcterms:created>
  <dcterms:modified xsi:type="dcterms:W3CDTF">2022-06-27T14:34:30Z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