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2020/00002221X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CONVENIO TRANSPORTES ANTONIO DÍAZ HERNÁNDEZ, S.L., BONOS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INSULAR 2020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SEGUNDA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USUARIO. PERIODO 2020.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5028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3" w:firstLine="709"/>
        <w:jc w:val="both"/>
      </w:pPr>
      <w:r>
        <w:rPr/>
        <w:t>De una parte, DOÑA MARÍA DOLORES NEGRÍN PÉREZ, Consejera Insular Delegada de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837, de fecha 25 de febrero 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rectificado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846,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2021,</w:t>
      </w:r>
      <w:r>
        <w:rPr>
          <w:spacing w:val="-53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CAB/2021/927,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 al</w:t>
      </w:r>
      <w:r>
        <w:rPr>
          <w:spacing w:val="1"/>
        </w:rPr>
        <w:t> </w:t>
      </w: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6" w:firstLine="709"/>
        <w:jc w:val="both"/>
      </w:pPr>
      <w:r>
        <w:rPr/>
        <w:t>El Cabildo en la formalización del presente Convenio, aspira garantizar un nivel de calidad</w:t>
      </w:r>
      <w:r>
        <w:rPr>
          <w:spacing w:val="1"/>
        </w:rPr>
        <w:t> </w:t>
      </w:r>
      <w:r>
        <w:rPr/>
        <w:t>adecuado en las necesidades de desplazamiento de la población insular, proponiendo como objetivos</w:t>
      </w:r>
      <w:r>
        <w:rPr>
          <w:spacing w:val="-53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movilidad,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medioambiental.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este convenio tendrá el carácter de bases reguladoras para la concesión</w:t>
      </w:r>
      <w:r>
        <w:rPr>
          <w:spacing w:val="1"/>
        </w:rPr>
        <w:t> </w:t>
      </w:r>
      <w:r>
        <w:rPr/>
        <w:t>de las subvenciones, de acuerdo con lo dispuesto en el artículo 65 del Real Decreto 887/2006, de 21</w:t>
      </w:r>
      <w:r>
        <w:rPr>
          <w:spacing w:val="1"/>
        </w:rPr>
        <w:t> </w:t>
      </w:r>
      <w:r>
        <w:rPr/>
        <w:t>de julio, por el que se aprueba el Reglamento de la Ley 38/2003, de 17 de noviembre, General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2013, en la</w:t>
      </w:r>
      <w:r>
        <w:rPr>
          <w:spacing w:val="1"/>
        </w:rPr>
        <w:t> </w:t>
      </w:r>
      <w:r>
        <w:rPr/>
        <w:t>que se ponía de manifiesto la difícil situación económica que atravesaba la isla de Fuerteventura,</w:t>
      </w:r>
      <w:r>
        <w:rPr>
          <w:spacing w:val="1"/>
        </w:rPr>
        <w:t> </w:t>
      </w:r>
      <w:r>
        <w:rPr/>
        <w:t>situación que lamentablemente se mantiene en la actualidad, este Cabildo plantea la necesidad de</w:t>
      </w:r>
      <w:r>
        <w:rPr>
          <w:spacing w:val="1"/>
        </w:rPr>
        <w:t> </w:t>
      </w:r>
      <w:r>
        <w:rPr/>
        <w:t>seguir</w:t>
      </w:r>
      <w:r>
        <w:rPr>
          <w:spacing w:val="-2"/>
        </w:rPr>
        <w:t> </w:t>
      </w:r>
      <w:r>
        <w:rPr/>
        <w:t>subvencionando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más desfavorecidos.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el presente Convenio de Colaboración,</w:t>
      </w:r>
      <w:r>
        <w:rPr>
          <w:spacing w:val="1"/>
        </w:rPr>
        <w:t> </w:t>
      </w:r>
      <w:r>
        <w:rPr/>
        <w:t>formalizándose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 siguiente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3684" w:right="4000"/>
      </w:pPr>
      <w:r>
        <w:rPr/>
        <w:t>CLÁUSULA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/>
      </w:pPr>
      <w:r>
        <w:rPr>
          <w:b/>
        </w:rPr>
        <w:t>ÚNICA: </w:t>
      </w:r>
      <w:r>
        <w:rPr/>
        <w:t>Modificar</w:t>
      </w:r>
      <w:r>
        <w:rPr>
          <w:spacing w:val="1"/>
        </w:rPr>
        <w:t> </w:t>
      </w:r>
      <w:r>
        <w:rPr/>
        <w:t>la cláusula 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LA 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en</w:t>
      </w:r>
    </w:p>
    <w:p>
      <w:pPr>
        <w:pStyle w:val="BodyText"/>
        <w:ind w:left="136"/>
      </w:pPr>
      <w:r>
        <w:rPr/>
        <w:t>su</w:t>
      </w:r>
      <w:r>
        <w:rPr>
          <w:spacing w:val="3"/>
        </w:rPr>
        <w:t> </w:t>
      </w:r>
      <w:r>
        <w:rPr/>
        <w:t>punto</w:t>
      </w:r>
      <w:r>
        <w:rPr>
          <w:spacing w:val="3"/>
        </w:rPr>
        <w:t> </w:t>
      </w:r>
      <w:r>
        <w:rPr/>
        <w:t>2º.-</w:t>
      </w:r>
      <w:r>
        <w:rPr>
          <w:spacing w:val="3"/>
        </w:rPr>
        <w:t> </w:t>
      </w:r>
      <w:r>
        <w:rPr/>
        <w:t>FINANCIACIÓN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SUBVENCIONADAS,</w:t>
      </w:r>
      <w:r>
        <w:rPr>
          <w:spacing w:val="3"/>
        </w:rPr>
        <w:t> </w:t>
      </w:r>
      <w:r>
        <w:rPr/>
        <w:t>apartado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360"/>
        <w:jc w:val="both"/>
      </w:pPr>
      <w:r>
        <w:rPr/>
        <w:t>1.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públicos, procedentes de los créditos consignados en la aplicación presupuestaria 140 4400E 47201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S.L.-Bonos,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 de crédito con referencia 22020001899, y número de operación 220200001745, por importe</w:t>
      </w:r>
      <w:r>
        <w:rPr>
          <w:spacing w:val="-53"/>
        </w:rPr>
        <w:t> </w:t>
      </w:r>
      <w:r>
        <w:rPr/>
        <w:t>de</w:t>
      </w:r>
      <w:r>
        <w:rPr>
          <w:spacing w:val="55"/>
        </w:rPr>
        <w:t> </w:t>
      </w:r>
      <w:r>
        <w:rPr/>
        <w:t>800.000,00€  y</w:t>
      </w:r>
      <w:r>
        <w:rPr>
          <w:spacing w:val="55"/>
        </w:rPr>
        <w:t> </w:t>
      </w:r>
      <w:r>
        <w:rPr/>
        <w:t>en  la  aplicación</w:t>
      </w:r>
      <w:r>
        <w:rPr>
          <w:spacing w:val="55"/>
        </w:rPr>
        <w:t> </w:t>
      </w:r>
      <w:r>
        <w:rPr/>
        <w:t>presupuestaria  140  4400E</w:t>
      </w:r>
      <w:r>
        <w:rPr>
          <w:spacing w:val="55"/>
        </w:rPr>
        <w:t> </w:t>
      </w:r>
      <w:r>
        <w:rPr/>
        <w:t>47201</w:t>
      </w:r>
      <w:r>
        <w:rPr>
          <w:spacing w:val="1"/>
        </w:rPr>
        <w:t> </w:t>
      </w:r>
      <w:r>
        <w:rPr/>
        <w:t>denominada,  Subvención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S.L.-Bonos,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 22021001509, y número de operación 220210000986, por importe de 24.753,70€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prueba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conformidad,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duplicado,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04/03/2021 a las</w:t>
      </w:r>
      <w:r>
        <w:rPr>
          <w:spacing w:val="-39"/>
          <w:sz w:val="15"/>
        </w:rPr>
        <w:t> </w:t>
      </w:r>
      <w:r>
        <w:rPr>
          <w:sz w:val="15"/>
        </w:rPr>
        <w:t>7:34:50</w:t>
      </w: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Consejera Delegada de Industria, Comercio,</w:t>
      </w:r>
      <w:r>
        <w:rPr>
          <w:spacing w:val="1"/>
          <w:sz w:val="15"/>
        </w:rPr>
        <w:t> </w:t>
      </w:r>
      <w:r>
        <w:rPr>
          <w:sz w:val="15"/>
        </w:rPr>
        <w:t>Transportes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Accesibilidad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Movilidad</w:t>
      </w:r>
      <w:r>
        <w:rPr>
          <w:spacing w:val="1"/>
          <w:sz w:val="15"/>
        </w:rPr>
        <w:t> </w:t>
      </w:r>
      <w:r>
        <w:rPr>
          <w:sz w:val="15"/>
        </w:rPr>
        <w:t>Sostenible</w:t>
      </w:r>
      <w:r>
        <w:rPr>
          <w:spacing w:val="-39"/>
          <w:sz w:val="15"/>
        </w:rPr>
        <w:t> </w:t>
      </w:r>
      <w:r>
        <w:rPr>
          <w:sz w:val="15"/>
        </w:rPr>
        <w:t>Fdo.: María Dolores Negrín Pérez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2021.03.04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09:50:05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600" w:space="46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7248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55pt;height:20.150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13523554063141700015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2022-06-27T14:00:01Z</dcterms:created>
  <dcterms:modified xsi:type="dcterms:W3CDTF">2022-06-27T14:00:01Z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