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2021006035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07/04/2021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331" w:val="left" w:leader="none"/>
        </w:tabs>
        <w:spacing w:before="0"/>
        <w:ind w:left="0" w:right="186" w:firstLine="0"/>
        <w:jc w:val="righ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2020/00002221X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right="186" w:firstLine="288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1166" w:val="left" w:leader="none"/>
        </w:tabs>
        <w:spacing w:before="120"/>
        <w:ind w:left="0" w:right="187" w:firstLine="0"/>
        <w:jc w:val="right"/>
        <w:rPr>
          <w:b/>
          <w:sz w:val="20"/>
        </w:rPr>
      </w:pPr>
      <w:r>
        <w:rPr>
          <w:sz w:val="20"/>
        </w:rPr>
        <w:t>Dirección:</w:t>
        <w:tab/>
      </w:r>
      <w:r>
        <w:rPr>
          <w:b/>
          <w:sz w:val="20"/>
        </w:rPr>
        <w:t>CARRETERA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KM</w:t>
      </w:r>
    </w:p>
    <w:p>
      <w:pPr>
        <w:pStyle w:val="Heading1"/>
        <w:ind w:right="187"/>
      </w:pPr>
      <w:r>
        <w:rPr/>
        <w:t>37</w:t>
      </w:r>
    </w:p>
    <w:p>
      <w:pPr>
        <w:spacing w:before="60"/>
        <w:ind w:left="0" w:right="187" w:firstLine="0"/>
        <w:jc w:val="right"/>
        <w:rPr>
          <w:b/>
          <w:sz w:val="20"/>
        </w:rPr>
      </w:pPr>
      <w:r>
        <w:rPr>
          <w:b/>
          <w:sz w:val="20"/>
        </w:rPr>
        <w:t>PUERTO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ROSARIO</w:t>
      </w:r>
    </w:p>
    <w:p>
      <w:pPr>
        <w:pStyle w:val="Heading1"/>
        <w:spacing w:before="60"/>
        <w:ind w:right="186"/>
      </w:pPr>
      <w:r>
        <w:rPr/>
        <w:t>LAS PALMAS</w:t>
      </w:r>
    </w:p>
    <w:p>
      <w:pPr>
        <w:spacing w:after="0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120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CF/00000004/0004/000014785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45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/>
              <w:ind w:left="70" w:right="774"/>
              <w:rPr>
                <w:sz w:val="20"/>
              </w:rPr>
            </w:pPr>
            <w:r>
              <w:rPr>
                <w:sz w:val="20"/>
              </w:rPr>
              <w:t>CONVENIO TRANSPORTES ANTONIO DÍAZ HERNÁNDEZ, S.L.,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Nominadas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  <w:ind w:left="3226"/>
        <w:jc w:val="center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07/04/2021, el/la Sr/Sra. Consejero/a Insular</w:t>
      </w:r>
      <w:r>
        <w:rPr>
          <w:spacing w:val="-53"/>
        </w:rPr>
        <w:t> </w:t>
      </w:r>
      <w:r>
        <w:rPr/>
        <w:t>Delegado/a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left="3226"/>
        <w:jc w:val="center"/>
      </w:pPr>
      <w:r>
        <w:rPr/>
        <w:t>RESOLUCIÓN</w:t>
      </w:r>
      <w:r>
        <w:rPr>
          <w:spacing w:val="-6"/>
        </w:rPr>
        <w:t> </w:t>
      </w:r>
      <w:r>
        <w:rPr/>
        <w:t>CAB/2021/1536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Servicio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de Transportes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y Comunicaciones</w:t>
      </w:r>
    </w:p>
    <w:p>
      <w:pPr>
        <w:spacing w:before="0"/>
        <w:ind w:left="116" w:right="4099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Expediente: Justificación Convenio para potenciar el Transporte Público 2020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Ref: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2020/2221X</w:t>
      </w:r>
    </w:p>
    <w:p>
      <w:pPr>
        <w:spacing w:before="0"/>
        <w:ind w:left="116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MPSS/erb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6" w:right="115" w:firstLine="708"/>
        <w:jc w:val="both"/>
      </w:pP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providencia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 Accesibilidad y Movilidad, Dña. María del Carmen Alonso Saavedra, de fecha 31 de</w:t>
      </w:r>
      <w:r>
        <w:rPr>
          <w:spacing w:val="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ind w:left="116" w:right="114" w:firstLine="708"/>
        <w:jc w:val="both"/>
      </w:pPr>
      <w:r>
        <w:rPr/>
        <w:t>En fecha 28 de abril de 2020, mediante Resolución número CAB/2020/1550, de la Consejera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Sostenible,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-53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 subvención al usuario. Periodo 2020, habiéndose suscrito en fecha 28 de abril de 2020, así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adendas</w:t>
      </w:r>
      <w:r>
        <w:rPr>
          <w:spacing w:val="-2"/>
        </w:rPr>
        <w:t> </w:t>
      </w:r>
      <w:r>
        <w:rPr/>
        <w:t>suscritas en</w:t>
      </w:r>
      <w:r>
        <w:rPr>
          <w:spacing w:val="-2"/>
        </w:rPr>
        <w:t> </w:t>
      </w:r>
      <w:r>
        <w:rPr/>
        <w:t>fechas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04 de</w:t>
      </w:r>
      <w:r>
        <w:rPr>
          <w:spacing w:val="-1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708"/>
        <w:jc w:val="both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(LGS)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concederse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directa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(art. 22</w:t>
      </w:r>
      <w:r>
        <w:rPr>
          <w:spacing w:val="-1"/>
        </w:rPr>
        <w:t> </w:t>
      </w:r>
      <w:r>
        <w:rPr/>
        <w:t>LGS).</w:t>
      </w:r>
    </w:p>
    <w:p>
      <w:pPr>
        <w:pStyle w:val="BodyText"/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“Artículo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22.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Procedimientos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concesión.</w:t>
      </w:r>
    </w:p>
    <w:p>
      <w:pPr>
        <w:pStyle w:val="BodyText"/>
        <w:rPr>
          <w:i/>
        </w:rPr>
      </w:pPr>
    </w:p>
    <w:p>
      <w:pPr>
        <w:spacing w:before="0"/>
        <w:ind w:left="683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“…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2.</w:t>
      </w:r>
      <w:r>
        <w:rPr>
          <w:i/>
          <w:color w:val="292425"/>
          <w:spacing w:val="51"/>
          <w:sz w:val="20"/>
        </w:rPr>
        <w:t> </w:t>
      </w:r>
      <w:r>
        <w:rPr>
          <w:i/>
          <w:color w:val="292425"/>
          <w:sz w:val="20"/>
        </w:rPr>
        <w:t>Podrán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concederse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forma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directa</w:t>
      </w:r>
      <w:r>
        <w:rPr>
          <w:i/>
          <w:color w:val="292425"/>
          <w:spacing w:val="-3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siguientes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subvenciones: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1676" w:right="115" w:hanging="425"/>
        <w:jc w:val="both"/>
        <w:rPr>
          <w:i/>
          <w:sz w:val="20"/>
        </w:rPr>
      </w:pPr>
      <w:r>
        <w:rPr>
          <w:i/>
          <w:color w:val="292526"/>
          <w:sz w:val="20"/>
        </w:rPr>
        <w:t>a)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Las previstas nominativamente en los Presupuestos Generales del Estado, de las</w:t>
      </w:r>
      <w:r>
        <w:rPr>
          <w:i/>
          <w:color w:val="292526"/>
          <w:spacing w:val="1"/>
          <w:sz w:val="20"/>
        </w:rPr>
        <w:t> </w:t>
      </w:r>
      <w:r>
        <w:rPr>
          <w:i/>
          <w:color w:val="292526"/>
          <w:sz w:val="20"/>
        </w:rPr>
        <w:t>comunidades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autónomas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o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las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entidades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locales,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términos</w:t>
      </w:r>
      <w:r>
        <w:rPr>
          <w:i/>
          <w:color w:val="292526"/>
          <w:spacing w:val="19"/>
          <w:sz w:val="20"/>
        </w:rPr>
        <w:t> </w:t>
      </w:r>
      <w:r>
        <w:rPr>
          <w:i/>
          <w:color w:val="292526"/>
          <w:sz w:val="20"/>
        </w:rPr>
        <w:t>recogidos</w:t>
      </w:r>
      <w:r>
        <w:rPr>
          <w:i/>
          <w:color w:val="292526"/>
          <w:spacing w:val="20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53"/>
          <w:sz w:val="20"/>
        </w:rPr>
        <w:t> </w:t>
      </w:r>
      <w:r>
        <w:rPr>
          <w:i/>
          <w:color w:val="292526"/>
          <w:sz w:val="20"/>
        </w:rPr>
        <w:t>los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convenios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y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en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la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normativa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reguladora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de</w:t>
      </w:r>
      <w:r>
        <w:rPr>
          <w:i/>
          <w:color w:val="292526"/>
          <w:spacing w:val="-1"/>
          <w:sz w:val="20"/>
        </w:rPr>
        <w:t> </w:t>
      </w:r>
      <w:r>
        <w:rPr>
          <w:i/>
          <w:color w:val="292526"/>
          <w:sz w:val="20"/>
        </w:rPr>
        <w:t>estas</w:t>
      </w:r>
      <w:r>
        <w:rPr>
          <w:i/>
          <w:color w:val="292526"/>
          <w:spacing w:val="-2"/>
          <w:sz w:val="20"/>
        </w:rPr>
        <w:t> </w:t>
      </w:r>
      <w:r>
        <w:rPr>
          <w:i/>
          <w:color w:val="292526"/>
          <w:sz w:val="20"/>
        </w:rPr>
        <w:t>subvenciones.”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De conformidad con lo establecido, en la cláusula quinta del citado convenio, suscrito el 28 de</w:t>
      </w:r>
      <w:r>
        <w:rPr>
          <w:spacing w:val="-53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dispuso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debía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justificada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QUINTA: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PLAZOS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JUSTIFICACIÓN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SUBVENCIÓN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FORMA 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PAGO:</w:t>
      </w:r>
    </w:p>
    <w:p>
      <w:pPr>
        <w:spacing w:before="0"/>
        <w:ind w:left="836" w:right="0" w:firstLine="0"/>
        <w:jc w:val="left"/>
        <w:rPr>
          <w:i/>
          <w:sz w:val="20"/>
        </w:rPr>
      </w:pPr>
      <w:r>
        <w:rPr>
          <w:i/>
          <w:sz w:val="20"/>
        </w:rPr>
        <w:t>...</w:t>
      </w:r>
    </w:p>
    <w:p>
      <w:pPr>
        <w:pStyle w:val="BodyText"/>
        <w:rPr>
          <w:i/>
        </w:rPr>
      </w:pPr>
    </w:p>
    <w:p>
      <w:pPr>
        <w:spacing w:before="0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2020,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2020,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noviembre 2021”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8"/>
        <w:jc w:val="both"/>
      </w:pPr>
      <w:r>
        <w:rPr/>
        <w:t>Vistos los escritos presentados por el administrador de la sociedad, con R.E. nº. 2020012282,</w:t>
      </w:r>
      <w:r>
        <w:rPr>
          <w:spacing w:val="-53"/>
        </w:rPr>
        <w:t> </w:t>
      </w:r>
      <w:r>
        <w:rPr/>
        <w:t>2020019997,</w:t>
      </w:r>
      <w:r>
        <w:rPr>
          <w:spacing w:val="83"/>
        </w:rPr>
        <w:t> </w:t>
      </w:r>
      <w:r>
        <w:rPr/>
        <w:t>2020025211,</w:t>
      </w:r>
      <w:r>
        <w:rPr>
          <w:spacing w:val="83"/>
        </w:rPr>
        <w:t> </w:t>
      </w:r>
      <w:r>
        <w:rPr/>
        <w:t>2020029990,</w:t>
      </w:r>
      <w:r>
        <w:rPr>
          <w:spacing w:val="83"/>
        </w:rPr>
        <w:t> </w:t>
      </w:r>
      <w:r>
        <w:rPr/>
        <w:t>2020032477,</w:t>
      </w:r>
      <w:r>
        <w:rPr>
          <w:spacing w:val="83"/>
        </w:rPr>
        <w:t> </w:t>
      </w:r>
      <w:r>
        <w:rPr/>
        <w:t>2020035846,</w:t>
      </w:r>
      <w:r>
        <w:rPr>
          <w:spacing w:val="83"/>
        </w:rPr>
        <w:t> </w:t>
      </w:r>
      <w:r>
        <w:rPr/>
        <w:t>2020040610,</w:t>
      </w:r>
      <w:r>
        <w:rPr>
          <w:spacing w:val="83"/>
        </w:rPr>
        <w:t> </w:t>
      </w:r>
      <w:r>
        <w:rPr/>
        <w:t>2021000270,</w:t>
      </w:r>
    </w:p>
    <w:p>
      <w:pPr>
        <w:pStyle w:val="BodyText"/>
        <w:ind w:left="116"/>
        <w:jc w:val="both"/>
      </w:pPr>
      <w:r>
        <w:rPr/>
        <w:t>2021007733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2021008048,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fechas</w:t>
      </w:r>
      <w:r>
        <w:rPr>
          <w:spacing w:val="-1"/>
        </w:rPr>
        <w:t> </w:t>
      </w:r>
      <w:r>
        <w:rPr/>
        <w:t>22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mayo,</w:t>
      </w:r>
      <w:r>
        <w:rPr>
          <w:spacing w:val="-1"/>
        </w:rPr>
        <w:t> </w:t>
      </w:r>
      <w:r>
        <w:rPr/>
        <w:t>09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julio,</w:t>
      </w:r>
      <w:r>
        <w:rPr>
          <w:spacing w:val="-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septiembre,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</w:p>
    <w:p>
      <w:pPr>
        <w:pStyle w:val="BodyText"/>
        <w:ind w:left="116" w:right="115"/>
        <w:jc w:val="both"/>
      </w:pPr>
      <w:r>
        <w:rPr/>
        <w:t>05 de noviembre y 10 de diciembre de 2020, 08 de enero, 25 y 29 de marzo de 2021, en los que</w:t>
      </w:r>
      <w:r>
        <w:rPr>
          <w:spacing w:val="1"/>
        </w:rPr>
        <w:t> </w:t>
      </w:r>
      <w:r>
        <w:rPr/>
        <w:t>adjunta</w:t>
      </w:r>
      <w:r>
        <w:rPr>
          <w:spacing w:val="12"/>
        </w:rPr>
        <w:t> </w:t>
      </w:r>
      <w:r>
        <w:rPr/>
        <w:t>justificante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ingreso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liquidaciones</w:t>
      </w:r>
      <w:r>
        <w:rPr>
          <w:spacing w:val="12"/>
        </w:rPr>
        <w:t> </w:t>
      </w:r>
      <w:r>
        <w:rPr/>
        <w:t>y</w:t>
      </w:r>
      <w:r>
        <w:rPr>
          <w:spacing w:val="13"/>
        </w:rPr>
        <w:t> </w:t>
      </w:r>
      <w:r>
        <w:rPr/>
        <w:t>resumen</w:t>
      </w:r>
      <w:r>
        <w:rPr>
          <w:spacing w:val="14"/>
        </w:rPr>
        <w:t> </w:t>
      </w:r>
      <w:r>
        <w:rPr/>
        <w:t>global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liquidaciones</w:t>
      </w:r>
      <w:r>
        <w:rPr>
          <w:spacing w:val="12"/>
        </w:rPr>
        <w:t> </w:t>
      </w:r>
      <w:r>
        <w:rPr/>
        <w:t>mensuales</w:t>
      </w:r>
      <w:r>
        <w:rPr>
          <w:spacing w:val="1"/>
        </w:rPr>
        <w:t> </w:t>
      </w:r>
      <w:r>
        <w:rPr/>
        <w:t>de las subvenciones de bonos correspondiente al periodo 2020, de conformidad con establecido en la</w:t>
      </w:r>
      <w:r>
        <w:rPr>
          <w:spacing w:val="-53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del convenio</w:t>
      </w:r>
      <w:r>
        <w:rPr>
          <w:spacing w:val="-2"/>
        </w:rPr>
        <w:t> </w:t>
      </w:r>
      <w:r>
        <w:rPr/>
        <w:t>citado anteriormente.</w:t>
      </w:r>
    </w:p>
    <w:p>
      <w:pPr>
        <w:pStyle w:val="BodyText"/>
      </w:pPr>
    </w:p>
    <w:p>
      <w:pPr>
        <w:pStyle w:val="BodyText"/>
        <w:ind w:left="116" w:right="116" w:firstLine="709"/>
        <w:jc w:val="both"/>
      </w:pPr>
      <w:r>
        <w:rPr/>
        <w:t>Según el artículo 14.1.b) de la Ley 38/2003, de 17 de noviembre, General de Subvenciones,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825"/>
      </w:pP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comprobado: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5" w:right="115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justificantes</w:t>
      </w:r>
      <w:r>
        <w:rPr>
          <w:spacing w:val="49"/>
          <w:sz w:val="20"/>
        </w:rPr>
        <w:t> </w:t>
      </w:r>
      <w:r>
        <w:rPr>
          <w:sz w:val="20"/>
        </w:rPr>
        <w:t>presentados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adecuan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establecidos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recibidos.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Visto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concedida,</w:t>
      </w:r>
      <w:r>
        <w:rPr>
          <w:spacing w:val="10"/>
        </w:rPr>
        <w:t> </w:t>
      </w:r>
      <w:r>
        <w:rPr/>
        <w:t>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artículo 84 del Real Decreto 887/2006, de 21 de julio, por el que</w:t>
      </w:r>
      <w:r>
        <w:rPr>
          <w:spacing w:val="1"/>
        </w:rPr>
        <w:t> </w:t>
      </w:r>
      <w:r>
        <w:rPr/>
        <w:t>se aprueba el Reglamento de la Ley 38/2003, de 17 de noviembre, General de Subvenciones, al</w:t>
      </w:r>
      <w:r>
        <w:rPr>
          <w:spacing w:val="1"/>
        </w:rPr>
        <w:t> </w:t>
      </w:r>
      <w:r>
        <w:rPr/>
        <w:t>amparo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Orgánico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Cabildo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del Decreto de la Presidencia número 1183 de fecha 12 de marzo de 2021, rectificado por Decreto de</w:t>
      </w:r>
      <w:r>
        <w:rPr>
          <w:spacing w:val="1"/>
        </w:rPr>
        <w:t> </w:t>
      </w:r>
      <w:r>
        <w:rPr/>
        <w:t>la Presidencia número 1233, de fecha 19 de marzo de 2021 y del Acuerdo del Consejo de Gobierno</w:t>
      </w:r>
      <w:r>
        <w:rPr>
          <w:spacing w:val="1"/>
        </w:rPr>
        <w:t> </w:t>
      </w:r>
      <w:r>
        <w:rPr/>
        <w:t>de fecha 15 de marzo de 2021, previa fiscalización por la Intervención General del Cabildo y a la vista</w:t>
      </w:r>
      <w:r>
        <w:rPr>
          <w:spacing w:val="-53"/>
        </w:rPr>
        <w:t> </w:t>
      </w:r>
      <w:r>
        <w:rPr/>
        <w:t>del informe jurídico emitido por la Jefa de Servicio del Servicio Jurídico-Vicesecretaria de fecha 29 de</w:t>
      </w:r>
      <w:r>
        <w:rPr>
          <w:spacing w:val="1"/>
        </w:rPr>
        <w:t> </w:t>
      </w:r>
      <w:r>
        <w:rPr/>
        <w:t>abril de 2019, con referencia 2019/00015991A en relación con la competencia para la suscripción de</w:t>
      </w:r>
      <w:r>
        <w:rPr>
          <w:spacing w:val="1"/>
        </w:rPr>
        <w:t> </w:t>
      </w:r>
      <w:r>
        <w:rPr/>
        <w:t>convenios por parte del Cabildo Insular con otras entidad públicas y privadas en el que dispone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BodyText"/>
      </w:pPr>
    </w:p>
    <w:p>
      <w:pPr>
        <w:tabs>
          <w:tab w:pos="1534" w:val="left" w:leader="none"/>
        </w:tabs>
        <w:spacing w:before="0"/>
        <w:ind w:left="618" w:right="115" w:firstLine="142"/>
        <w:jc w:val="both"/>
        <w:rPr>
          <w:i/>
          <w:sz w:val="20"/>
        </w:rPr>
      </w:pPr>
      <w:r>
        <w:rPr>
          <w:sz w:val="20"/>
        </w:rPr>
        <w:t>-</w:t>
        <w:tab/>
      </w:r>
      <w:r>
        <w:rPr>
          <w:i/>
          <w:sz w:val="20"/>
        </w:rPr>
        <w:t>Convenios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interadministrativos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donde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CCAA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privadas: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desconcentración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Área,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delegación.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53"/>
        </w:rPr>
        <w:t> </w:t>
      </w:r>
      <w:r>
        <w:rPr/>
        <w:t>Funcionamiento y Régimen Jurídico de las Entidades Locales aprobado por Real Decreto 2568/1986,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</w:p>
    <w:p>
      <w:pPr>
        <w:pStyle w:val="BodyText"/>
      </w:pPr>
    </w:p>
    <w:p>
      <w:pPr>
        <w:pStyle w:val="BodyText"/>
        <w:ind w:left="116" w:right="115" w:firstLine="709"/>
        <w:jc w:val="both"/>
      </w:pPr>
      <w:r>
        <w:rPr/>
        <w:t>Vista la Propuesta de Resolución del Servicio, en la que se manifiesta que se ha tenido en</w:t>
      </w:r>
      <w:r>
        <w:rPr>
          <w:spacing w:val="1"/>
        </w:rPr>
        <w:t> </w:t>
      </w:r>
      <w:r>
        <w:rPr/>
        <w:t>cuenta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expediente</w:t>
      </w:r>
      <w:r>
        <w:rPr>
          <w:spacing w:val="38"/>
        </w:rPr>
        <w:t> </w:t>
      </w:r>
      <w:r>
        <w:rPr/>
        <w:t>que</w:t>
      </w:r>
      <w:r>
        <w:rPr>
          <w:spacing w:val="39"/>
        </w:rPr>
        <w:t> </w:t>
      </w:r>
      <w:r>
        <w:rPr/>
        <w:t>sirve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base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presente</w:t>
      </w:r>
      <w:r>
        <w:rPr>
          <w:spacing w:val="38"/>
        </w:rPr>
        <w:t> </w:t>
      </w:r>
      <w:r>
        <w:rPr/>
        <w:t>resolución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procedimiento</w:t>
      </w:r>
      <w:r>
        <w:rPr>
          <w:spacing w:val="39"/>
        </w:rPr>
        <w:t> </w:t>
      </w:r>
      <w:r>
        <w:rPr/>
        <w:t>legalmente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6"/>
      </w:pPr>
      <w:r>
        <w:rPr/>
        <w:t>establecido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3226"/>
        <w:jc w:val="center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 w:right="114" w:firstLine="709"/>
        <w:jc w:val="both"/>
      </w:pPr>
      <w:r>
        <w:rPr>
          <w:b/>
        </w:rPr>
        <w:t>Primero.</w:t>
      </w:r>
      <w:r>
        <w:rPr/>
        <w:t>: Declarar justificado el convenio de colaboración entre el Cabildo de Fuerteventura y</w:t>
      </w:r>
      <w:r>
        <w:rPr>
          <w:spacing w:val="-53"/>
        </w:rPr>
        <w:t> </w:t>
      </w:r>
      <w:r>
        <w:rPr/>
        <w:t>la mercantil Transportes Antonio Díaz Hernández, S.L., para potenciar el uso del transporte público</w:t>
      </w:r>
      <w:r>
        <w:rPr>
          <w:spacing w:val="1"/>
        </w:rPr>
        <w:t> </w:t>
      </w:r>
      <w:r>
        <w:rPr/>
        <w:t>regular de viajeros mediante subvención al usuario. Periodo 2020, así como sus adendas suscritas en</w:t>
      </w:r>
      <w:r>
        <w:rPr>
          <w:spacing w:val="-53"/>
        </w:rPr>
        <w:t> </w:t>
      </w:r>
      <w:r>
        <w:rPr/>
        <w:t>fechas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04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bonos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adjunta:</w:t>
      </w:r>
    </w:p>
    <w:p>
      <w:pPr>
        <w:pStyle w:val="BodyText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417"/>
      </w:tblGrid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39.640,60€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37.870,90€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20.970,40€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0,00€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3.839,50€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22.038,85€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30.062,45€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28.438,40€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26.167,10€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24.862,15€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25.452,60€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24.753,70€</w:t>
            </w:r>
          </w:p>
        </w:tc>
      </w:tr>
      <w:tr>
        <w:trPr>
          <w:trHeight w:val="229" w:hRule="atLeast"/>
        </w:trPr>
        <w:tc>
          <w:tcPr>
            <w:tcW w:w="209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787" w:right="7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284.096,65€</w:t>
            </w:r>
          </w:p>
        </w:tc>
      </w:tr>
    </w:tbl>
    <w:p>
      <w:pPr>
        <w:pStyle w:val="BodyText"/>
      </w:pPr>
    </w:p>
    <w:p>
      <w:pPr>
        <w:pStyle w:val="BodyText"/>
        <w:ind w:left="116" w:right="116" w:firstLine="708"/>
        <w:jc w:val="both"/>
      </w:pPr>
      <w:r>
        <w:rPr>
          <w:b/>
        </w:rPr>
        <w:t>Segundo.</w:t>
      </w:r>
      <w:r>
        <w:rPr/>
        <w:t>: Dar traslado del presente acuerdo a Transportes Antonio Díaz Hernández, SL., y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presente acto administrativo pone fin a la vía administrativa, y en consecuencia podrá ser</w:t>
      </w:r>
      <w:r>
        <w:rPr>
          <w:spacing w:val="1"/>
        </w:rPr>
        <w:t> </w:t>
      </w:r>
      <w:r>
        <w:rPr/>
        <w:t>recurrido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o ser impugnado directamente ante el orden jurisdiccional contencioso-administrativo,</w:t>
      </w:r>
      <w:r>
        <w:rPr>
          <w:spacing w:val="1"/>
        </w:rPr>
        <w:t> </w:t>
      </w:r>
      <w:r>
        <w:rPr/>
        <w:t>ante los Juzgados de lo contencioso-administrativo de Las Palmas de Gran Canaria, según disponen</w:t>
      </w:r>
      <w:r>
        <w:rPr>
          <w:spacing w:val="1"/>
        </w:rPr>
        <w:t> </w:t>
      </w:r>
      <w:r>
        <w:rPr/>
        <w:t>los artículos 123 de la ley 39/2015, de 1 de octubre, del procedimiento administrativo común de las</w:t>
      </w:r>
      <w:r>
        <w:rPr>
          <w:spacing w:val="1"/>
        </w:rPr>
        <w:t> </w:t>
      </w:r>
      <w:r>
        <w:rPr/>
        <w:t>administraciones públicas, y 46 de la Ley 29/1998, de 13 de julio, reguladora de la 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8"/>
        <w:jc w:val="both"/>
      </w:pPr>
      <w:r>
        <w:rPr/>
        <w:t>En su caso, no se podrá interponer recurso contencioso-administrativo hasta que sea resuelto</w:t>
      </w:r>
      <w:r>
        <w:rPr>
          <w:spacing w:val="-5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4" w:firstLine="763"/>
        <w:jc w:val="both"/>
      </w:pPr>
      <w:r>
        <w:rPr/>
        <w:t>El plazo para la interposición del recurso de reposición será de un mes. Transcurrido dicho</w:t>
      </w:r>
      <w:r>
        <w:rPr>
          <w:spacing w:val="1"/>
        </w:rPr>
        <w:t> </w:t>
      </w:r>
      <w:r>
        <w:rPr/>
        <w:t>plazo,</w:t>
      </w:r>
      <w:r>
        <w:rPr>
          <w:spacing w:val="23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interponerse</w:t>
      </w:r>
      <w:r>
        <w:rPr>
          <w:spacing w:val="24"/>
        </w:rPr>
        <w:t> </w:t>
      </w:r>
      <w:r>
        <w:rPr/>
        <w:t>recurso</w:t>
      </w:r>
      <w:r>
        <w:rPr>
          <w:spacing w:val="24"/>
        </w:rPr>
        <w:t> </w:t>
      </w:r>
      <w:r>
        <w:rPr/>
        <w:t>contencioso-administrativo,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plazo para interponer el recurso contencioso-administrativo será de dos meses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/>
      </w:pP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3"/>
        </w:rPr>
        <w:t> </w:t>
      </w:r>
      <w:r>
        <w:rPr/>
        <w:t>Sr/Sra.</w:t>
      </w:r>
      <w:r>
        <w:rPr>
          <w:spacing w:val="-3"/>
        </w:rPr>
        <w:t> </w:t>
      </w:r>
      <w:r>
        <w:rPr/>
        <w:t>Consejero/a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Delegado/a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line="211" w:lineRule="auto" w:before="12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3"/>
          <w:sz w:val="21"/>
        </w:rPr>
        <w:t> </w:t>
      </w:r>
      <w:r>
        <w:rPr>
          <w:sz w:val="21"/>
        </w:rPr>
        <w:t>día</w:t>
      </w:r>
      <w:r>
        <w:rPr>
          <w:spacing w:val="3"/>
          <w:sz w:val="21"/>
        </w:rPr>
        <w:t> </w:t>
      </w:r>
      <w:r>
        <w:rPr>
          <w:sz w:val="21"/>
        </w:rPr>
        <w:t>07/04/2021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las</w:t>
      </w:r>
      <w:r>
        <w:rPr>
          <w:spacing w:val="3"/>
          <w:sz w:val="21"/>
        </w:rPr>
        <w:t> </w:t>
      </w:r>
      <w:r>
        <w:rPr>
          <w:sz w:val="21"/>
        </w:rPr>
        <w:t>12:10:01.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854080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55pt;height:20.150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1671/2009).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5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4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13522336406315602416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right="3226"/>
      <w:jc w:val="right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2022-06-27T14:00:33Z</dcterms:created>
  <dcterms:modified xsi:type="dcterms:W3CDTF">2022-06-27T14:00:33Z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