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headerReference w:type="default" r:id="rId5"/>
          <w:footerReference w:type="default" r:id="rId6"/>
          <w:type w:val="continuous"/>
          <w:pgSz w:w="11910" w:h="16840"/>
          <w:pgMar w:header="985" w:footer="309" w:top="1820" w:bottom="500" w:left="1300" w:right="1300"/>
        </w:sect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Title"/>
        <w:spacing w:line="208" w:lineRule="auto"/>
      </w:pPr>
      <w:r>
        <w:rPr/>
        <w:t>Número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registro:</w:t>
      </w:r>
      <w:r>
        <w:rPr>
          <w:spacing w:val="-6"/>
        </w:rPr>
        <w:t> </w:t>
      </w:r>
      <w:r>
        <w:rPr/>
        <w:t>2022003288</w:t>
      </w:r>
      <w:r>
        <w:rPr>
          <w:spacing w:val="-64"/>
        </w:rPr>
        <w:t> </w:t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registro:</w:t>
      </w:r>
      <w:r>
        <w:rPr>
          <w:spacing w:val="-3"/>
        </w:rPr>
        <w:t> </w:t>
      </w:r>
      <w:r>
        <w:rPr/>
        <w:t>18/02/2022</w:t>
      </w:r>
    </w:p>
    <w:p>
      <w:pPr>
        <w:pStyle w:val="BodyText"/>
        <w:spacing w:before="7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tabs>
          <w:tab w:pos="2576" w:val="left" w:leader="none"/>
        </w:tabs>
        <w:spacing w:before="0"/>
        <w:ind w:left="300" w:right="0" w:firstLine="0"/>
        <w:jc w:val="left"/>
        <w:rPr>
          <w:b/>
          <w:sz w:val="20"/>
        </w:rPr>
      </w:pPr>
      <w:r>
        <w:rPr>
          <w:sz w:val="20"/>
        </w:rPr>
        <w:t>Referencia:</w:t>
        <w:tab/>
      </w:r>
      <w:r>
        <w:rPr>
          <w:b/>
          <w:sz w:val="20"/>
        </w:rPr>
        <w:t>2021/00001804W</w:t>
      </w:r>
    </w:p>
    <w:p>
      <w:pPr>
        <w:tabs>
          <w:tab w:pos="1466" w:val="left" w:leader="none"/>
        </w:tabs>
        <w:spacing w:before="120"/>
        <w:ind w:left="0" w:right="186" w:firstLine="0"/>
        <w:jc w:val="right"/>
        <w:rPr>
          <w:b/>
          <w:sz w:val="20"/>
        </w:rPr>
      </w:pPr>
      <w:r>
        <w:rPr>
          <w:sz w:val="20"/>
        </w:rPr>
        <w:t>Destinatario:</w:t>
        <w:tab/>
      </w:r>
      <w:r>
        <w:rPr>
          <w:b/>
          <w:sz w:val="20"/>
        </w:rPr>
        <w:t>TRANSPORTES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ANTONIO</w:t>
      </w:r>
    </w:p>
    <w:p>
      <w:pPr>
        <w:pStyle w:val="Heading1"/>
        <w:ind w:left="2089" w:firstLine="288"/>
        <w:jc w:val="right"/>
      </w:pPr>
      <w:r>
        <w:rPr/>
        <w:t>DIAZ HERNANDEZ</w:t>
      </w:r>
      <w:r>
        <w:rPr>
          <w:spacing w:val="-53"/>
        </w:rPr>
        <w:t> </w:t>
      </w:r>
      <w:r>
        <w:rPr>
          <w:spacing w:val="-1"/>
        </w:rPr>
        <w:t>SOCIEDAD</w:t>
      </w:r>
      <w:r>
        <w:rPr>
          <w:spacing w:val="-9"/>
        </w:rPr>
        <w:t> </w:t>
      </w:r>
      <w:r>
        <w:rPr/>
        <w:t>LIMITADA</w:t>
      </w:r>
    </w:p>
    <w:p>
      <w:pPr>
        <w:tabs>
          <w:tab w:pos="2355" w:val="left" w:leader="none"/>
        </w:tabs>
        <w:spacing w:before="120"/>
        <w:ind w:left="1744" w:right="186" w:hanging="1311"/>
        <w:jc w:val="both"/>
        <w:rPr>
          <w:b/>
          <w:sz w:val="20"/>
        </w:rPr>
      </w:pPr>
      <w:r>
        <w:rPr>
          <w:sz w:val="20"/>
        </w:rPr>
        <w:t>Dirección:</w:t>
        <w:tab/>
        <w:tab/>
      </w:r>
      <w:r>
        <w:rPr>
          <w:b/>
          <w:sz w:val="20"/>
        </w:rPr>
        <w:t>CL LAS MIMOSAS-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POLIGONO INDUSTRIAL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ARINAGA,</w:t>
      </w:r>
      <w:r>
        <w:rPr>
          <w:b/>
          <w:spacing w:val="105"/>
          <w:sz w:val="20"/>
        </w:rPr>
        <w:t> </w:t>
      </w:r>
      <w:r>
        <w:rPr>
          <w:b/>
          <w:sz w:val="20"/>
        </w:rPr>
        <w:t>41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POLI.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IND.</w:t>
      </w:r>
    </w:p>
    <w:p>
      <w:pPr>
        <w:pStyle w:val="Heading1"/>
        <w:spacing w:line="302" w:lineRule="auto"/>
        <w:ind w:left="2610" w:firstLine="278"/>
        <w:jc w:val="right"/>
      </w:pPr>
      <w:r>
        <w:rPr/>
        <w:t>DE ARINAGA</w:t>
      </w:r>
      <w:r>
        <w:rPr>
          <w:spacing w:val="-53"/>
        </w:rPr>
        <w:t> </w:t>
      </w:r>
      <w:r>
        <w:rPr/>
        <w:t>35118 AGUIMES</w:t>
      </w:r>
      <w:r>
        <w:rPr>
          <w:spacing w:val="-53"/>
        </w:rPr>
        <w:t> </w:t>
      </w:r>
      <w:r>
        <w:rPr/>
        <w:t>LAS PALMAS</w:t>
      </w:r>
    </w:p>
    <w:p>
      <w:pPr>
        <w:spacing w:after="0" w:line="302" w:lineRule="auto"/>
        <w:jc w:val="right"/>
        <w:sectPr>
          <w:type w:val="continuous"/>
          <w:pgSz w:w="11910" w:h="16840"/>
          <w:pgMar w:top="1820" w:bottom="500" w:left="1300" w:right="1300"/>
          <w:cols w:num="2" w:equalWidth="0">
            <w:col w:w="3761" w:space="1200"/>
            <w:col w:w="4349"/>
          </w:cols>
        </w:sectPr>
      </w:pPr>
    </w:p>
    <w:p>
      <w:pPr>
        <w:tabs>
          <w:tab w:pos="6624" w:val="left" w:leader="none"/>
        </w:tabs>
        <w:spacing w:before="61"/>
        <w:ind w:left="2337" w:right="0" w:firstLine="0"/>
        <w:jc w:val="left"/>
        <w:rPr>
          <w:b/>
          <w:sz w:val="18"/>
        </w:rPr>
      </w:pPr>
      <w:r>
        <w:rPr>
          <w:sz w:val="20"/>
        </w:rPr>
        <w:t>Núm.</w:t>
      </w:r>
      <w:r>
        <w:rPr>
          <w:spacing w:val="-7"/>
          <w:sz w:val="20"/>
        </w:rPr>
        <w:t> </w:t>
      </w:r>
      <w:r>
        <w:rPr>
          <w:sz w:val="20"/>
        </w:rPr>
        <w:t>Notificación/Código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Requerimiento:</w:t>
        <w:tab/>
      </w:r>
      <w:r>
        <w:rPr>
          <w:b/>
          <w:position w:val="1"/>
          <w:sz w:val="18"/>
        </w:rPr>
        <w:t>CF/00000004/0004/000024526</w: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2"/>
        </w:rPr>
      </w:pPr>
    </w:p>
    <w:tbl>
      <w:tblPr>
        <w:tblW w:w="0" w:type="auto"/>
        <w:jc w:val="left"/>
        <w:tblInd w:w="1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6797"/>
      </w:tblGrid>
      <w:tr>
        <w:trPr>
          <w:trHeight w:val="459" w:hRule="atLeast"/>
        </w:trPr>
        <w:tc>
          <w:tcPr>
            <w:tcW w:w="2268" w:type="dxa"/>
          </w:tcPr>
          <w:p>
            <w:pPr>
              <w:pStyle w:val="TableParagraph"/>
              <w:spacing w:line="240" w:lineRule="auto" w:before="60"/>
              <w:ind w:left="70"/>
              <w:rPr>
                <w:sz w:val="20"/>
              </w:rPr>
            </w:pPr>
            <w:r>
              <w:rPr>
                <w:sz w:val="20"/>
              </w:rPr>
              <w:t>Asunto:</w:t>
            </w:r>
          </w:p>
        </w:tc>
        <w:tc>
          <w:tcPr>
            <w:tcW w:w="6797" w:type="dxa"/>
          </w:tcPr>
          <w:p>
            <w:pPr>
              <w:pStyle w:val="TableParagraph"/>
              <w:spacing w:line="230" w:lineRule="atLeast"/>
              <w:ind w:left="70" w:right="440"/>
              <w:rPr>
                <w:sz w:val="20"/>
              </w:rPr>
            </w:pPr>
            <w:r>
              <w:rPr>
                <w:sz w:val="20"/>
              </w:rPr>
              <w:t>CONVENIO DE TRANSPORTES ANTONIO DÍAZ HERNÁNDEZ, S.L.,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BONO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RESIDENTE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CANARIO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2021.</w:t>
            </w:r>
          </w:p>
        </w:tc>
      </w:tr>
      <w:tr>
        <w:trPr>
          <w:trHeight w:val="349" w:hRule="atLeast"/>
        </w:trPr>
        <w:tc>
          <w:tcPr>
            <w:tcW w:w="2268" w:type="dxa"/>
          </w:tcPr>
          <w:p>
            <w:pPr>
              <w:pStyle w:val="TableParagraph"/>
              <w:spacing w:line="240" w:lineRule="auto" w:before="60"/>
              <w:ind w:left="70"/>
              <w:rPr>
                <w:sz w:val="20"/>
              </w:rPr>
            </w:pPr>
            <w:r>
              <w:rPr>
                <w:sz w:val="20"/>
              </w:rPr>
              <w:t>Procedimiento:</w:t>
            </w:r>
          </w:p>
        </w:tc>
        <w:tc>
          <w:tcPr>
            <w:tcW w:w="6797" w:type="dxa"/>
          </w:tcPr>
          <w:p>
            <w:pPr>
              <w:pStyle w:val="TableParagraph"/>
              <w:spacing w:line="240" w:lineRule="auto" w:before="60"/>
              <w:ind w:left="70"/>
              <w:rPr>
                <w:sz w:val="20"/>
              </w:rPr>
            </w:pPr>
            <w:r>
              <w:rPr>
                <w:sz w:val="20"/>
              </w:rPr>
              <w:t>Convenios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Subvenciones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Nominadas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pStyle w:val="Heading1"/>
        <w:spacing w:before="94"/>
        <w:ind w:right="3282"/>
      </w:pPr>
      <w:r>
        <w:rPr/>
        <w:t>NOTIFICACIÓN</w:t>
      </w:r>
    </w:p>
    <w:p>
      <w:pPr>
        <w:pStyle w:val="BodyText"/>
        <w:rPr>
          <w:b/>
        </w:rPr>
      </w:pPr>
    </w:p>
    <w:p>
      <w:pPr>
        <w:pStyle w:val="BodyText"/>
        <w:ind w:left="116"/>
      </w:pPr>
      <w:r>
        <w:rPr/>
        <w:t>Por medio del presente escrito le comunico que en el día 18/02/2022, el/la Sr/Sra. Consejero/a Insular</w:t>
      </w:r>
      <w:r>
        <w:rPr>
          <w:spacing w:val="-53"/>
        </w:rPr>
        <w:t> </w:t>
      </w:r>
      <w:r>
        <w:rPr/>
        <w:t>Delegado/a</w:t>
      </w:r>
      <w:r>
        <w:rPr>
          <w:spacing w:val="-2"/>
        </w:rPr>
        <w:t> </w:t>
      </w:r>
      <w:r>
        <w:rPr/>
        <w:t>ha</w:t>
      </w:r>
      <w:r>
        <w:rPr>
          <w:spacing w:val="-1"/>
        </w:rPr>
        <w:t> </w:t>
      </w:r>
      <w:r>
        <w:rPr/>
        <w:t>dictado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</w:pPr>
    </w:p>
    <w:p>
      <w:pPr>
        <w:pStyle w:val="Heading1"/>
        <w:ind w:right="3282"/>
      </w:pPr>
      <w:r>
        <w:rPr/>
        <w:t>RESOLUCIÓN</w:t>
      </w:r>
      <w:r>
        <w:rPr>
          <w:spacing w:val="-6"/>
        </w:rPr>
        <w:t> </w:t>
      </w:r>
      <w:r>
        <w:rPr/>
        <w:t>CAB/2022/715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18"/>
        </w:rPr>
      </w:pPr>
    </w:p>
    <w:p>
      <w:pPr>
        <w:spacing w:before="0"/>
        <w:ind w:left="11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sz w:val="16"/>
        </w:rPr>
        <w:t>Servicio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de Transportes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y Comunicaciones</w:t>
      </w:r>
    </w:p>
    <w:p>
      <w:pPr>
        <w:spacing w:before="0"/>
        <w:ind w:left="116" w:right="4926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Expediente: Justificación Convenio Bono Residente Canario 2021</w:t>
      </w:r>
      <w:r>
        <w:rPr>
          <w:rFonts w:ascii="Times New Roman" w:hAnsi="Times New Roman"/>
          <w:i/>
          <w:spacing w:val="-37"/>
          <w:sz w:val="16"/>
        </w:rPr>
        <w:t> </w:t>
      </w:r>
      <w:r>
        <w:rPr>
          <w:rFonts w:ascii="Times New Roman" w:hAnsi="Times New Roman"/>
          <w:i/>
          <w:sz w:val="16"/>
        </w:rPr>
        <w:t>2021/1804W</w:t>
      </w:r>
    </w:p>
    <w:p>
      <w:pPr>
        <w:spacing w:before="0"/>
        <w:ind w:left="11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sz w:val="16"/>
        </w:rPr>
        <w:t>ISP/erb</w:t>
      </w:r>
    </w:p>
    <w:p>
      <w:pPr>
        <w:pStyle w:val="BodyText"/>
        <w:spacing w:before="184"/>
        <w:ind w:left="116" w:right="114" w:firstLine="708"/>
        <w:jc w:val="both"/>
      </w:pPr>
      <w:r>
        <w:rPr/>
        <w:t>En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05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CAB/2021/1039,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Consejera Delegada de Industria, Comercio, Transportes, Accesibilidad y Movilidad Sostenible, se</w:t>
      </w:r>
      <w:r>
        <w:rPr>
          <w:spacing w:val="1"/>
        </w:rPr>
        <w:t> </w:t>
      </w:r>
      <w:r>
        <w:rPr/>
        <w:t>aprobó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Transportes Antonio Díaz Hernández, S.L., para potenciar el uso del transporte público regular de</w:t>
      </w:r>
      <w:r>
        <w:rPr>
          <w:spacing w:val="1"/>
        </w:rPr>
        <w:t> </w:t>
      </w:r>
      <w:r>
        <w:rPr/>
        <w:t>viajeros mediante subvención al usuario residente canario. Periodo 2021, habiéndose suscrito en</w:t>
      </w:r>
      <w:r>
        <w:rPr>
          <w:spacing w:val="1"/>
        </w:rPr>
        <w:t> </w:t>
      </w:r>
      <w:r>
        <w:rPr/>
        <w:t>fecha 08 de marzo de 2021, así como sus adendas suscritas en fechas 23 de julio y 04 de noviembre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2021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el 02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febrero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6" w:right="114" w:firstLine="708"/>
        <w:jc w:val="both"/>
      </w:pPr>
      <w:r>
        <w:rPr/>
        <w:t>La</w:t>
      </w:r>
      <w:r>
        <w:rPr>
          <w:spacing w:val="18"/>
        </w:rPr>
        <w:t> </w:t>
      </w:r>
      <w:r>
        <w:rPr/>
        <w:t>Ley</w:t>
      </w:r>
      <w:r>
        <w:rPr>
          <w:spacing w:val="18"/>
        </w:rPr>
        <w:t> </w:t>
      </w:r>
      <w:r>
        <w:rPr/>
        <w:t>General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Subvenciones</w:t>
      </w:r>
      <w:r>
        <w:rPr>
          <w:spacing w:val="19"/>
        </w:rPr>
        <w:t> </w:t>
      </w:r>
      <w:r>
        <w:rPr/>
        <w:t>(LGS)</w:t>
      </w:r>
      <w:r>
        <w:rPr>
          <w:spacing w:val="18"/>
        </w:rPr>
        <w:t> </w:t>
      </w:r>
      <w:r>
        <w:rPr/>
        <w:t>establece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podrán</w:t>
      </w:r>
      <w:r>
        <w:rPr>
          <w:spacing w:val="19"/>
        </w:rPr>
        <w:t> </w:t>
      </w:r>
      <w:r>
        <w:rPr/>
        <w:t>concederse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forma</w:t>
      </w:r>
      <w:r>
        <w:rPr>
          <w:spacing w:val="18"/>
        </w:rPr>
        <w:t> </w:t>
      </w:r>
      <w:r>
        <w:rPr/>
        <w:t>directa</w:t>
      </w:r>
      <w:r>
        <w:rPr>
          <w:spacing w:val="-53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nominativamente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recogidos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reguladora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subvenciones</w:t>
      </w:r>
      <w:r>
        <w:rPr>
          <w:spacing w:val="-1"/>
        </w:rPr>
        <w:t> </w:t>
      </w:r>
      <w:r>
        <w:rPr/>
        <w:t>(art. 22</w:t>
      </w:r>
      <w:r>
        <w:rPr>
          <w:spacing w:val="-1"/>
        </w:rPr>
        <w:t> </w:t>
      </w:r>
      <w:r>
        <w:rPr/>
        <w:t>LGS).</w:t>
      </w:r>
    </w:p>
    <w:p>
      <w:pPr>
        <w:pStyle w:val="BodyText"/>
      </w:pPr>
    </w:p>
    <w:p>
      <w:pPr>
        <w:spacing w:before="0"/>
        <w:ind w:left="116" w:right="0" w:firstLine="0"/>
        <w:jc w:val="left"/>
        <w:rPr>
          <w:i/>
          <w:sz w:val="20"/>
        </w:rPr>
      </w:pPr>
      <w:r>
        <w:rPr>
          <w:i/>
          <w:color w:val="292425"/>
          <w:sz w:val="20"/>
        </w:rPr>
        <w:t>“Artículo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22.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Procedimientos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de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concesión.</w:t>
      </w:r>
    </w:p>
    <w:p>
      <w:pPr>
        <w:pStyle w:val="BodyText"/>
        <w:rPr>
          <w:i/>
        </w:rPr>
      </w:pPr>
    </w:p>
    <w:p>
      <w:pPr>
        <w:spacing w:before="0"/>
        <w:ind w:left="683" w:right="0" w:firstLine="0"/>
        <w:jc w:val="left"/>
        <w:rPr>
          <w:i/>
          <w:sz w:val="20"/>
        </w:rPr>
      </w:pPr>
      <w:r>
        <w:rPr>
          <w:i/>
          <w:color w:val="292425"/>
          <w:sz w:val="20"/>
        </w:rPr>
        <w:t>“…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2.</w:t>
      </w:r>
      <w:r>
        <w:rPr>
          <w:i/>
          <w:color w:val="292425"/>
          <w:spacing w:val="51"/>
          <w:sz w:val="20"/>
        </w:rPr>
        <w:t> </w:t>
      </w:r>
      <w:r>
        <w:rPr>
          <w:i/>
          <w:color w:val="292425"/>
          <w:sz w:val="20"/>
        </w:rPr>
        <w:t>Podrán</w:t>
      </w:r>
      <w:r>
        <w:rPr>
          <w:i/>
          <w:color w:val="292425"/>
          <w:spacing w:val="-1"/>
          <w:sz w:val="20"/>
        </w:rPr>
        <w:t> </w:t>
      </w:r>
      <w:r>
        <w:rPr>
          <w:i/>
          <w:color w:val="292425"/>
          <w:sz w:val="20"/>
        </w:rPr>
        <w:t>concederse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de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forma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directa</w:t>
      </w:r>
      <w:r>
        <w:rPr>
          <w:i/>
          <w:color w:val="292425"/>
          <w:spacing w:val="-3"/>
          <w:sz w:val="20"/>
        </w:rPr>
        <w:t> </w:t>
      </w:r>
      <w:r>
        <w:rPr>
          <w:i/>
          <w:color w:val="292425"/>
          <w:sz w:val="20"/>
        </w:rPr>
        <w:t>las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siguientes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subvenciones: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820" w:bottom="500" w:left="1300" w:right="1300"/>
        </w:sectPr>
      </w:pPr>
    </w:p>
    <w:p>
      <w:pPr>
        <w:pStyle w:val="BodyText"/>
        <w:spacing w:before="3"/>
        <w:rPr>
          <w:i/>
          <w:sz w:val="26"/>
        </w:rPr>
      </w:pPr>
    </w:p>
    <w:p>
      <w:pPr>
        <w:spacing w:before="94"/>
        <w:ind w:left="1676" w:right="115" w:hanging="425"/>
        <w:jc w:val="both"/>
        <w:rPr>
          <w:i/>
          <w:sz w:val="20"/>
        </w:rPr>
      </w:pPr>
      <w:r>
        <w:rPr>
          <w:i/>
          <w:color w:val="292526"/>
          <w:sz w:val="20"/>
        </w:rPr>
        <w:t>a)</w:t>
      </w:r>
      <w:r>
        <w:rPr>
          <w:i/>
          <w:color w:val="292526"/>
          <w:spacing w:val="1"/>
          <w:sz w:val="20"/>
        </w:rPr>
        <w:t> </w:t>
      </w:r>
      <w:r>
        <w:rPr>
          <w:i/>
          <w:color w:val="292526"/>
          <w:sz w:val="20"/>
        </w:rPr>
        <w:t>Las previstas nominativamente en los Presupuestos Generales del Estado, de las</w:t>
      </w:r>
      <w:r>
        <w:rPr>
          <w:i/>
          <w:color w:val="292526"/>
          <w:spacing w:val="1"/>
          <w:sz w:val="20"/>
        </w:rPr>
        <w:t> </w:t>
      </w:r>
      <w:r>
        <w:rPr>
          <w:i/>
          <w:color w:val="292526"/>
          <w:sz w:val="20"/>
        </w:rPr>
        <w:t>comunidades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autónomas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o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de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las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entidades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locales,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en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los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términos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recogidos</w:t>
      </w:r>
      <w:r>
        <w:rPr>
          <w:i/>
          <w:color w:val="292526"/>
          <w:spacing w:val="20"/>
          <w:sz w:val="20"/>
        </w:rPr>
        <w:t> </w:t>
      </w:r>
      <w:r>
        <w:rPr>
          <w:i/>
          <w:color w:val="292526"/>
          <w:sz w:val="20"/>
        </w:rPr>
        <w:t>en</w:t>
      </w:r>
      <w:r>
        <w:rPr>
          <w:i/>
          <w:color w:val="292526"/>
          <w:spacing w:val="-53"/>
          <w:sz w:val="20"/>
        </w:rPr>
        <w:t> </w:t>
      </w:r>
      <w:r>
        <w:rPr>
          <w:i/>
          <w:color w:val="292526"/>
          <w:sz w:val="20"/>
        </w:rPr>
        <w:t>los</w:t>
      </w:r>
      <w:r>
        <w:rPr>
          <w:i/>
          <w:color w:val="292526"/>
          <w:spacing w:val="-2"/>
          <w:sz w:val="20"/>
        </w:rPr>
        <w:t> </w:t>
      </w:r>
      <w:r>
        <w:rPr>
          <w:i/>
          <w:color w:val="292526"/>
          <w:sz w:val="20"/>
        </w:rPr>
        <w:t>convenios</w:t>
      </w:r>
      <w:r>
        <w:rPr>
          <w:i/>
          <w:color w:val="292526"/>
          <w:spacing w:val="-2"/>
          <w:sz w:val="20"/>
        </w:rPr>
        <w:t> </w:t>
      </w:r>
      <w:r>
        <w:rPr>
          <w:i/>
          <w:color w:val="292526"/>
          <w:sz w:val="20"/>
        </w:rPr>
        <w:t>y</w:t>
      </w:r>
      <w:r>
        <w:rPr>
          <w:i/>
          <w:color w:val="292526"/>
          <w:spacing w:val="-1"/>
          <w:sz w:val="20"/>
        </w:rPr>
        <w:t> </w:t>
      </w:r>
      <w:r>
        <w:rPr>
          <w:i/>
          <w:color w:val="292526"/>
          <w:sz w:val="20"/>
        </w:rPr>
        <w:t>en</w:t>
      </w:r>
      <w:r>
        <w:rPr>
          <w:i/>
          <w:color w:val="292526"/>
          <w:spacing w:val="-1"/>
          <w:sz w:val="20"/>
        </w:rPr>
        <w:t> </w:t>
      </w:r>
      <w:r>
        <w:rPr>
          <w:i/>
          <w:color w:val="292526"/>
          <w:sz w:val="20"/>
        </w:rPr>
        <w:t>la</w:t>
      </w:r>
      <w:r>
        <w:rPr>
          <w:i/>
          <w:color w:val="292526"/>
          <w:spacing w:val="-2"/>
          <w:sz w:val="20"/>
        </w:rPr>
        <w:t> </w:t>
      </w:r>
      <w:r>
        <w:rPr>
          <w:i/>
          <w:color w:val="292526"/>
          <w:sz w:val="20"/>
        </w:rPr>
        <w:t>normativa</w:t>
      </w:r>
      <w:r>
        <w:rPr>
          <w:i/>
          <w:color w:val="292526"/>
          <w:spacing w:val="-2"/>
          <w:sz w:val="20"/>
        </w:rPr>
        <w:t> </w:t>
      </w:r>
      <w:r>
        <w:rPr>
          <w:i/>
          <w:color w:val="292526"/>
          <w:sz w:val="20"/>
        </w:rPr>
        <w:t>reguladora</w:t>
      </w:r>
      <w:r>
        <w:rPr>
          <w:i/>
          <w:color w:val="292526"/>
          <w:spacing w:val="-1"/>
          <w:sz w:val="20"/>
        </w:rPr>
        <w:t> </w:t>
      </w:r>
      <w:r>
        <w:rPr>
          <w:i/>
          <w:color w:val="292526"/>
          <w:sz w:val="20"/>
        </w:rPr>
        <w:t>de</w:t>
      </w:r>
      <w:r>
        <w:rPr>
          <w:i/>
          <w:color w:val="292526"/>
          <w:spacing w:val="-1"/>
          <w:sz w:val="20"/>
        </w:rPr>
        <w:t> </w:t>
      </w:r>
      <w:r>
        <w:rPr>
          <w:i/>
          <w:color w:val="292526"/>
          <w:sz w:val="20"/>
        </w:rPr>
        <w:t>estas</w:t>
      </w:r>
      <w:r>
        <w:rPr>
          <w:i/>
          <w:color w:val="292526"/>
          <w:spacing w:val="-2"/>
          <w:sz w:val="20"/>
        </w:rPr>
        <w:t> </w:t>
      </w:r>
      <w:r>
        <w:rPr>
          <w:i/>
          <w:color w:val="292526"/>
          <w:sz w:val="20"/>
        </w:rPr>
        <w:t>subvenciones.”</w:t>
      </w:r>
    </w:p>
    <w:p>
      <w:pPr>
        <w:pStyle w:val="BodyText"/>
        <w:rPr>
          <w:i/>
        </w:rPr>
      </w:pPr>
    </w:p>
    <w:p>
      <w:pPr>
        <w:pStyle w:val="BodyText"/>
        <w:ind w:left="116" w:right="115" w:firstLine="709"/>
        <w:jc w:val="both"/>
      </w:pPr>
      <w:r>
        <w:rPr/>
        <w:t>De conformidad con lo establecido, en la cláusula quinta del citado convenio, suscrito el 08 de</w:t>
      </w:r>
      <w:r>
        <w:rPr>
          <w:spacing w:val="-53"/>
        </w:rPr>
        <w:t> </w:t>
      </w:r>
      <w:r>
        <w:rPr/>
        <w:t>marzo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2021,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dispuso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subvención</w:t>
      </w:r>
      <w:r>
        <w:rPr>
          <w:spacing w:val="-1"/>
        </w:rPr>
        <w:t> </w:t>
      </w:r>
      <w:r>
        <w:rPr/>
        <w:t>debía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justificada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manera:</w:t>
      </w:r>
    </w:p>
    <w:p>
      <w:pPr>
        <w:pStyle w:val="BodyText"/>
      </w:pPr>
    </w:p>
    <w:p>
      <w:pPr>
        <w:spacing w:before="0"/>
        <w:ind w:left="116" w:right="0" w:firstLine="0"/>
        <w:jc w:val="both"/>
        <w:rPr>
          <w:b/>
          <w:i/>
          <w:sz w:val="20"/>
        </w:rPr>
      </w:pPr>
      <w:r>
        <w:rPr>
          <w:i/>
          <w:sz w:val="20"/>
        </w:rPr>
        <w:t>“</w:t>
      </w:r>
      <w:r>
        <w:rPr>
          <w:b/>
          <w:i/>
          <w:sz w:val="20"/>
        </w:rPr>
        <w:t>QUINTA: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PLAZOS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PARA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LA JUSTIFICACIÓN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LA SUBVENCIÓN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Y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FORMA DE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PAGO:</w:t>
      </w:r>
    </w:p>
    <w:p>
      <w:pPr>
        <w:spacing w:before="0"/>
        <w:ind w:left="836" w:right="0" w:firstLine="0"/>
        <w:jc w:val="left"/>
        <w:rPr>
          <w:i/>
          <w:sz w:val="20"/>
        </w:rPr>
      </w:pPr>
      <w:r>
        <w:rPr>
          <w:i/>
          <w:sz w:val="20"/>
        </w:rPr>
        <w:t>...</w:t>
      </w:r>
    </w:p>
    <w:p>
      <w:pPr>
        <w:pStyle w:val="BodyText"/>
        <w:rPr>
          <w:i/>
        </w:rPr>
      </w:pPr>
    </w:p>
    <w:p>
      <w:pPr>
        <w:spacing w:before="0"/>
        <w:ind w:left="116" w:right="115" w:firstLine="709"/>
        <w:jc w:val="both"/>
        <w:rPr>
          <w:i/>
          <w:sz w:val="20"/>
        </w:rPr>
      </w:pPr>
      <w:r>
        <w:rPr>
          <w:i/>
          <w:sz w:val="20"/>
        </w:rPr>
        <w:t>El plazo para la realización del gasto correspondiente a las bonificaciones será hasta el 31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diciembre de 2021, inclusive, y la justificación definitiva será mediante un resumen que englobe todas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 liquidaciones mensuales correspondientes hasta la mensualidad de diciembre de 2021, y tendrá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plazo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presentación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hasta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30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noviembre 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2022”</w:t>
      </w:r>
    </w:p>
    <w:p>
      <w:pPr>
        <w:pStyle w:val="BodyText"/>
        <w:rPr>
          <w:i/>
        </w:rPr>
      </w:pPr>
    </w:p>
    <w:p>
      <w:pPr>
        <w:pStyle w:val="BodyText"/>
        <w:ind w:left="116" w:right="115" w:firstLine="708"/>
        <w:jc w:val="right"/>
      </w:pPr>
      <w:r>
        <w:rPr/>
        <w:t>Vistos los escritos presentados por el administrador de la sociedad, con R.E. nº. 2021007738,</w:t>
      </w:r>
      <w:r>
        <w:rPr>
          <w:spacing w:val="-53"/>
        </w:rPr>
        <w:t> </w:t>
      </w:r>
      <w:r>
        <w:rPr/>
        <w:t>2021009697,</w:t>
      </w:r>
      <w:r>
        <w:rPr>
          <w:spacing w:val="83"/>
        </w:rPr>
        <w:t> </w:t>
      </w:r>
      <w:r>
        <w:rPr/>
        <w:t>2021013132,</w:t>
      </w:r>
      <w:r>
        <w:rPr>
          <w:spacing w:val="83"/>
        </w:rPr>
        <w:t> </w:t>
      </w:r>
      <w:r>
        <w:rPr/>
        <w:t>2021014246,</w:t>
      </w:r>
      <w:r>
        <w:rPr>
          <w:spacing w:val="83"/>
        </w:rPr>
        <w:t> </w:t>
      </w:r>
      <w:r>
        <w:rPr/>
        <w:t>2021017441,</w:t>
      </w:r>
      <w:r>
        <w:rPr>
          <w:spacing w:val="83"/>
        </w:rPr>
        <w:t> </w:t>
      </w:r>
      <w:r>
        <w:rPr/>
        <w:t>2021023978,</w:t>
      </w:r>
      <w:r>
        <w:rPr>
          <w:spacing w:val="83"/>
        </w:rPr>
        <w:t> </w:t>
      </w:r>
      <w:r>
        <w:rPr/>
        <w:t>2021023980,</w:t>
      </w:r>
      <w:r>
        <w:rPr>
          <w:spacing w:val="83"/>
        </w:rPr>
        <w:t> </w:t>
      </w:r>
      <w:r>
        <w:rPr/>
        <w:t>2021030306,</w:t>
      </w:r>
    </w:p>
    <w:p>
      <w:pPr>
        <w:pStyle w:val="BodyText"/>
        <w:ind w:right="115"/>
        <w:jc w:val="right"/>
      </w:pPr>
      <w:r>
        <w:rPr/>
        <w:t>2021034494,</w:t>
      </w:r>
      <w:r>
        <w:rPr>
          <w:spacing w:val="13"/>
        </w:rPr>
        <w:t> </w:t>
      </w:r>
      <w:r>
        <w:rPr/>
        <w:t>2021038568,</w:t>
      </w:r>
      <w:r>
        <w:rPr>
          <w:spacing w:val="13"/>
        </w:rPr>
        <w:t> </w:t>
      </w:r>
      <w:r>
        <w:rPr/>
        <w:t>2022000178,</w:t>
      </w:r>
      <w:r>
        <w:rPr>
          <w:spacing w:val="13"/>
        </w:rPr>
        <w:t> </w:t>
      </w:r>
      <w:r>
        <w:rPr/>
        <w:t>2022004120</w:t>
      </w:r>
      <w:r>
        <w:rPr>
          <w:spacing w:val="14"/>
        </w:rPr>
        <w:t> </w:t>
      </w:r>
      <w:r>
        <w:rPr/>
        <w:t>y</w:t>
      </w:r>
      <w:r>
        <w:rPr>
          <w:spacing w:val="13"/>
        </w:rPr>
        <w:t> </w:t>
      </w:r>
      <w:r>
        <w:rPr/>
        <w:t>2022004139,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fechas</w:t>
      </w:r>
      <w:r>
        <w:rPr>
          <w:spacing w:val="14"/>
        </w:rPr>
        <w:t> </w:t>
      </w:r>
      <w:r>
        <w:rPr/>
        <w:t>25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marzo,</w:t>
      </w:r>
      <w:r>
        <w:rPr>
          <w:spacing w:val="13"/>
        </w:rPr>
        <w:t> </w:t>
      </w:r>
      <w:r>
        <w:rPr/>
        <w:t>14</w:t>
      </w:r>
      <w:r>
        <w:rPr>
          <w:spacing w:val="14"/>
        </w:rPr>
        <w:t> </w:t>
      </w:r>
      <w:r>
        <w:rPr/>
        <w:t>de</w:t>
      </w:r>
    </w:p>
    <w:p>
      <w:pPr>
        <w:pStyle w:val="BodyText"/>
        <w:ind w:left="116" w:right="115"/>
        <w:jc w:val="both"/>
      </w:pPr>
      <w:r>
        <w:rPr/>
        <w:t>abril, 13 y 26 de mayo, 28 de junio, 30 de agosto, 13 de octubre, 11 de noviembre y 07 de diciembre</w:t>
      </w:r>
      <w:r>
        <w:rPr>
          <w:spacing w:val="1"/>
        </w:rPr>
        <w:t> </w:t>
      </w:r>
      <w:r>
        <w:rPr/>
        <w:t>de 2021, 04 de enero y 16 de febrero de 2022, en los que adjunta justificantes de ingresos de las</w:t>
      </w:r>
      <w:r>
        <w:rPr>
          <w:spacing w:val="1"/>
        </w:rPr>
        <w:t> </w:t>
      </w:r>
      <w:r>
        <w:rPr/>
        <w:t>liquidaciones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resumen</w:t>
      </w:r>
      <w:r>
        <w:rPr>
          <w:spacing w:val="1"/>
        </w:rPr>
        <w:t> </w:t>
      </w:r>
      <w:r>
        <w:rPr/>
        <w:t>global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liquidaciones</w:t>
      </w:r>
      <w:r>
        <w:rPr>
          <w:spacing w:val="1"/>
        </w:rPr>
        <w:t> </w:t>
      </w:r>
      <w:r>
        <w:rPr/>
        <w:t>mensuales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bonos</w:t>
      </w:r>
      <w:r>
        <w:rPr>
          <w:spacing w:val="1"/>
        </w:rPr>
        <w:t> </w:t>
      </w:r>
      <w:r>
        <w:rPr/>
        <w:t>correspondiente al periodo 2021, de conformidad con establecido en la cláusula quinta del convenio</w:t>
      </w:r>
      <w:r>
        <w:rPr>
          <w:spacing w:val="1"/>
        </w:rPr>
        <w:t> </w:t>
      </w:r>
      <w:r>
        <w:rPr/>
        <w:t>citado</w:t>
      </w:r>
      <w:r>
        <w:rPr>
          <w:spacing w:val="-1"/>
        </w:rPr>
        <w:t> </w:t>
      </w:r>
      <w:r>
        <w:rPr/>
        <w:t>anteriormente.</w:t>
      </w:r>
    </w:p>
    <w:p>
      <w:pPr>
        <w:pStyle w:val="BodyText"/>
      </w:pPr>
    </w:p>
    <w:p>
      <w:pPr>
        <w:pStyle w:val="BodyText"/>
        <w:ind w:left="116" w:right="116" w:firstLine="709"/>
        <w:jc w:val="both"/>
      </w:pPr>
      <w:r>
        <w:rPr/>
        <w:t>Según el artículo 14.1.b) de la Ley 38/2003, de 17 de noviembre, General de Subvenciones,</w:t>
      </w:r>
      <w:r>
        <w:rPr>
          <w:spacing w:val="1"/>
        </w:rPr>
        <w:t> </w:t>
      </w:r>
      <w:r>
        <w:rPr/>
        <w:t>es</w:t>
      </w:r>
      <w:r>
        <w:rPr>
          <w:spacing w:val="-2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beneficiarios</w:t>
      </w:r>
      <w:r>
        <w:rPr>
          <w:spacing w:val="-2"/>
        </w:rPr>
        <w:t> </w:t>
      </w:r>
      <w:r>
        <w:rPr/>
        <w:t>justificar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subvenciones.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825"/>
      </w:pPr>
      <w:r>
        <w:rPr/>
        <w:t>Dado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</w:t>
      </w:r>
      <w:r>
        <w:rPr>
          <w:spacing w:val="-2"/>
        </w:rPr>
        <w:t> </w:t>
      </w:r>
      <w:r>
        <w:rPr/>
        <w:t>comprobado: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35" w:val="left" w:leader="none"/>
        </w:tabs>
        <w:spacing w:line="240" w:lineRule="auto" w:before="0" w:after="0"/>
        <w:ind w:left="1534" w:right="0" w:hanging="360"/>
        <w:jc w:val="left"/>
        <w:rPr>
          <w:sz w:val="20"/>
        </w:rPr>
      </w:pP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</w:t>
      </w:r>
      <w:r>
        <w:rPr>
          <w:spacing w:val="-3"/>
          <w:sz w:val="20"/>
        </w:rPr>
        <w:t> </w:t>
      </w:r>
      <w:r>
        <w:rPr>
          <w:sz w:val="20"/>
        </w:rPr>
        <w:t>justificado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aplicación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fondos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finalidad</w:t>
      </w:r>
      <w:r>
        <w:rPr>
          <w:spacing w:val="-3"/>
          <w:sz w:val="20"/>
        </w:rPr>
        <w:t> </w:t>
      </w:r>
      <w:r>
        <w:rPr>
          <w:sz w:val="20"/>
        </w:rPr>
        <w:t>concedida.</w:t>
      </w:r>
    </w:p>
    <w:p>
      <w:pPr>
        <w:pStyle w:val="ListParagraph"/>
        <w:numPr>
          <w:ilvl w:val="0"/>
          <w:numId w:val="1"/>
        </w:numPr>
        <w:tabs>
          <w:tab w:pos="1535" w:val="left" w:leader="none"/>
        </w:tabs>
        <w:spacing w:line="240" w:lineRule="auto" w:before="0" w:after="0"/>
        <w:ind w:left="1535" w:right="115" w:hanging="360"/>
        <w:jc w:val="left"/>
        <w:rPr>
          <w:sz w:val="20"/>
        </w:rPr>
      </w:pPr>
      <w:r>
        <w:rPr>
          <w:sz w:val="20"/>
        </w:rPr>
        <w:t>Que</w:t>
      </w:r>
      <w:r>
        <w:rPr>
          <w:spacing w:val="49"/>
          <w:sz w:val="20"/>
        </w:rPr>
        <w:t> </w:t>
      </w:r>
      <w:r>
        <w:rPr>
          <w:sz w:val="20"/>
        </w:rPr>
        <w:t>los</w:t>
      </w:r>
      <w:r>
        <w:rPr>
          <w:spacing w:val="49"/>
          <w:sz w:val="20"/>
        </w:rPr>
        <w:t> </w:t>
      </w:r>
      <w:r>
        <w:rPr>
          <w:sz w:val="20"/>
        </w:rPr>
        <w:t>justificantes</w:t>
      </w:r>
      <w:r>
        <w:rPr>
          <w:spacing w:val="49"/>
          <w:sz w:val="20"/>
        </w:rPr>
        <w:t> </w:t>
      </w:r>
      <w:r>
        <w:rPr>
          <w:sz w:val="20"/>
        </w:rPr>
        <w:t>presentados</w:t>
      </w:r>
      <w:r>
        <w:rPr>
          <w:spacing w:val="49"/>
          <w:sz w:val="20"/>
        </w:rPr>
        <w:t> </w:t>
      </w:r>
      <w:r>
        <w:rPr>
          <w:sz w:val="20"/>
        </w:rPr>
        <w:t>se</w:t>
      </w:r>
      <w:r>
        <w:rPr>
          <w:spacing w:val="49"/>
          <w:sz w:val="20"/>
        </w:rPr>
        <w:t> </w:t>
      </w:r>
      <w:r>
        <w:rPr>
          <w:sz w:val="20"/>
        </w:rPr>
        <w:t>adecuan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49"/>
          <w:sz w:val="20"/>
        </w:rPr>
        <w:t> </w:t>
      </w:r>
      <w:r>
        <w:rPr>
          <w:sz w:val="20"/>
        </w:rPr>
        <w:t>los</w:t>
      </w:r>
      <w:r>
        <w:rPr>
          <w:spacing w:val="49"/>
          <w:sz w:val="20"/>
        </w:rPr>
        <w:t> </w:t>
      </w:r>
      <w:r>
        <w:rPr>
          <w:sz w:val="20"/>
        </w:rPr>
        <w:t>requisitos</w:t>
      </w:r>
      <w:r>
        <w:rPr>
          <w:spacing w:val="49"/>
          <w:sz w:val="20"/>
        </w:rPr>
        <w:t> </w:t>
      </w:r>
      <w:r>
        <w:rPr>
          <w:sz w:val="20"/>
        </w:rPr>
        <w:t>establecidos</w:t>
      </w:r>
      <w:r>
        <w:rPr>
          <w:spacing w:val="49"/>
          <w:sz w:val="20"/>
        </w:rPr>
        <w:t> </w:t>
      </w:r>
      <w:r>
        <w:rPr>
          <w:sz w:val="20"/>
        </w:rPr>
        <w:t>en</w:t>
      </w:r>
      <w:r>
        <w:rPr>
          <w:spacing w:val="50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convenio.</w:t>
      </w:r>
    </w:p>
    <w:p>
      <w:pPr>
        <w:pStyle w:val="ListParagraph"/>
        <w:numPr>
          <w:ilvl w:val="0"/>
          <w:numId w:val="1"/>
        </w:numPr>
        <w:tabs>
          <w:tab w:pos="1535" w:val="left" w:leader="none"/>
        </w:tabs>
        <w:spacing w:line="240" w:lineRule="auto" w:before="0" w:after="0"/>
        <w:ind w:left="1534" w:right="0" w:hanging="360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importe</w:t>
      </w:r>
      <w:r>
        <w:rPr>
          <w:spacing w:val="-2"/>
          <w:sz w:val="20"/>
        </w:rPr>
        <w:t> </w:t>
      </w:r>
      <w:r>
        <w:rPr>
          <w:sz w:val="20"/>
        </w:rPr>
        <w:t>justificado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3"/>
          <w:sz w:val="20"/>
        </w:rPr>
        <w:t> </w:t>
      </w:r>
      <w:r>
        <w:rPr>
          <w:sz w:val="20"/>
        </w:rPr>
        <w:t>igual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porcentaje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fondos</w:t>
      </w:r>
      <w:r>
        <w:rPr>
          <w:spacing w:val="-3"/>
          <w:sz w:val="20"/>
        </w:rPr>
        <w:t> </w:t>
      </w:r>
      <w:r>
        <w:rPr>
          <w:sz w:val="20"/>
        </w:rPr>
        <w:t>recibidos.</w:t>
      </w:r>
    </w:p>
    <w:p>
      <w:pPr>
        <w:pStyle w:val="BodyText"/>
      </w:pPr>
    </w:p>
    <w:p>
      <w:pPr>
        <w:pStyle w:val="BodyText"/>
        <w:ind w:left="116" w:right="114" w:firstLine="709"/>
        <w:jc w:val="both"/>
      </w:pPr>
      <w:r>
        <w:rPr/>
        <w:t>Visto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órgano</w:t>
      </w:r>
      <w:r>
        <w:rPr>
          <w:spacing w:val="10"/>
        </w:rPr>
        <w:t> </w:t>
      </w:r>
      <w:r>
        <w:rPr/>
        <w:t>competente</w:t>
      </w:r>
      <w:r>
        <w:rPr>
          <w:spacing w:val="10"/>
        </w:rPr>
        <w:t> </w:t>
      </w:r>
      <w:r>
        <w:rPr/>
        <w:t>para</w:t>
      </w:r>
      <w:r>
        <w:rPr>
          <w:spacing w:val="10"/>
        </w:rPr>
        <w:t> </w:t>
      </w:r>
      <w:r>
        <w:rPr/>
        <w:t>declarar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justificación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subvención</w:t>
      </w:r>
      <w:r>
        <w:rPr>
          <w:spacing w:val="10"/>
        </w:rPr>
        <w:t> </w:t>
      </w:r>
      <w:r>
        <w:rPr/>
        <w:t>concedida,</w:t>
      </w:r>
      <w:r>
        <w:rPr>
          <w:spacing w:val="10"/>
        </w:rPr>
        <w:t> </w:t>
      </w:r>
      <w:r>
        <w:rPr/>
        <w:t>es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Consejera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Delegada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Transporte,</w:t>
      </w:r>
      <w:r>
        <w:rPr>
          <w:spacing w:val="1"/>
        </w:rPr>
        <w:t> </w:t>
      </w:r>
      <w:r>
        <w:rPr/>
        <w:t>Comunicaciones,</w:t>
      </w:r>
      <w:r>
        <w:rPr>
          <w:spacing w:val="1"/>
        </w:rPr>
        <w:t> </w:t>
      </w:r>
      <w:r>
        <w:rPr/>
        <w:t>Accesibilidad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Movilidad,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 lo establecido en el artículo 84 del Real Decreto 887/2006, de 21 de julio, por el que</w:t>
      </w:r>
      <w:r>
        <w:rPr>
          <w:spacing w:val="1"/>
        </w:rPr>
        <w:t> </w:t>
      </w:r>
      <w:r>
        <w:rPr/>
        <w:t>se aprueba el Reglamento de la Ley 38/2003, de 17 de noviembre, General de Subvenciones, al</w:t>
      </w:r>
      <w:r>
        <w:rPr>
          <w:spacing w:val="1"/>
        </w:rPr>
        <w:t> </w:t>
      </w:r>
      <w:r>
        <w:rPr/>
        <w:t>amparo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artículo</w:t>
      </w:r>
      <w:r>
        <w:rPr>
          <w:spacing w:val="21"/>
        </w:rPr>
        <w:t> </w:t>
      </w:r>
      <w:r>
        <w:rPr/>
        <w:t>48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Reglamento</w:t>
      </w:r>
      <w:r>
        <w:rPr>
          <w:spacing w:val="22"/>
        </w:rPr>
        <w:t> </w:t>
      </w:r>
      <w:r>
        <w:rPr/>
        <w:t>Orgánico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Funcionamiento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Cabildo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Fuerteventura,</w:t>
      </w:r>
      <w:r>
        <w:rPr>
          <w:spacing w:val="1"/>
        </w:rPr>
        <w:t> </w:t>
      </w:r>
      <w:r>
        <w:rPr/>
        <w:t>del Decreto de la Presidencia número 1183 de fecha 12 de marzo de 2021, rectificado por Decreto de</w:t>
      </w:r>
      <w:r>
        <w:rPr>
          <w:spacing w:val="1"/>
        </w:rPr>
        <w:t> </w:t>
      </w:r>
      <w:r>
        <w:rPr/>
        <w:t>la Presidencia número 1233, de fecha 19 de marzo de 2021 y del Acuerdo del Consejo de Gobierno</w:t>
      </w:r>
      <w:r>
        <w:rPr>
          <w:spacing w:val="1"/>
        </w:rPr>
        <w:t> </w:t>
      </w:r>
      <w:r>
        <w:rPr/>
        <w:t>de fecha 15 de marzo de 2021, previa fiscalización por la Intervención General del Cabildo y a la vista</w:t>
      </w:r>
      <w:r>
        <w:rPr>
          <w:spacing w:val="-53"/>
        </w:rPr>
        <w:t> </w:t>
      </w:r>
      <w:r>
        <w:rPr/>
        <w:t>del informe jurídico emitido por la Jefa de Servicio del Servicio Jurídico-Vicesecretaria de fecha 29 de</w:t>
      </w:r>
      <w:r>
        <w:rPr>
          <w:spacing w:val="1"/>
        </w:rPr>
        <w:t> </w:t>
      </w:r>
      <w:r>
        <w:rPr/>
        <w:t>abril de 2019, con referencia 2019/00015991A en relación con la competencia para la suscripción de</w:t>
      </w:r>
      <w:r>
        <w:rPr>
          <w:spacing w:val="1"/>
        </w:rPr>
        <w:t> </w:t>
      </w:r>
      <w:r>
        <w:rPr/>
        <w:t>convenios por parte del Cabildo Insular con otras entidad públicas y privadas en el que dispone 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suscripción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asignada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órganos:</w:t>
      </w:r>
    </w:p>
    <w:p>
      <w:pPr>
        <w:pStyle w:val="BodyText"/>
      </w:pPr>
    </w:p>
    <w:p>
      <w:pPr>
        <w:tabs>
          <w:tab w:pos="825" w:val="left" w:leader="none"/>
        </w:tabs>
        <w:spacing w:before="0"/>
        <w:ind w:left="116" w:right="116" w:firstLine="142"/>
        <w:jc w:val="left"/>
        <w:rPr>
          <w:i/>
          <w:sz w:val="20"/>
        </w:rPr>
      </w:pPr>
      <w:r>
        <w:rPr>
          <w:sz w:val="20"/>
        </w:rPr>
        <w:t>-</w:t>
        <w:tab/>
      </w:r>
      <w:r>
        <w:rPr>
          <w:i/>
          <w:sz w:val="20"/>
        </w:rPr>
        <w:t>Convenios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interadministrativos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donde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intervenga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CCAA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Convenios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entidades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privadas: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presidente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desconcentración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consejero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insular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Área,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perjuicio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delegación.</w:t>
      </w:r>
    </w:p>
    <w:p>
      <w:pPr>
        <w:pStyle w:val="BodyText"/>
        <w:rPr>
          <w:i/>
        </w:rPr>
      </w:pPr>
    </w:p>
    <w:p>
      <w:pPr>
        <w:pStyle w:val="BodyText"/>
        <w:ind w:left="116" w:right="115" w:firstLine="709"/>
        <w:jc w:val="both"/>
      </w:pPr>
      <w:r>
        <w:rPr/>
        <w:t>Por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172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175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Organización,</w:t>
      </w:r>
      <w:r>
        <w:rPr>
          <w:spacing w:val="-53"/>
        </w:rPr>
        <w:t> </w:t>
      </w:r>
      <w:r>
        <w:rPr/>
        <w:t>Funcionamiento y Régimen Jurídico de las Entidades Locales aprobado por Real Decreto 2568/1986,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28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noviembre</w:t>
      </w:r>
    </w:p>
    <w:p>
      <w:pPr>
        <w:pStyle w:val="BodyText"/>
      </w:pPr>
    </w:p>
    <w:p>
      <w:pPr>
        <w:pStyle w:val="BodyText"/>
        <w:ind w:left="116" w:right="115" w:firstLine="709"/>
        <w:jc w:val="right"/>
      </w:pPr>
      <w:r>
        <w:rPr/>
        <w:t>Vista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Propuesta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Resolución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Servicio,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manifiesta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ha</w:t>
      </w:r>
      <w:r>
        <w:rPr>
          <w:spacing w:val="19"/>
        </w:rPr>
        <w:t> </w:t>
      </w:r>
      <w:r>
        <w:rPr/>
        <w:t>tenido</w:t>
      </w:r>
      <w:r>
        <w:rPr>
          <w:spacing w:val="20"/>
        </w:rPr>
        <w:t> </w:t>
      </w:r>
      <w:r>
        <w:rPr/>
        <w:t>en</w:t>
      </w:r>
      <w:r>
        <w:rPr>
          <w:spacing w:val="-53"/>
        </w:rPr>
        <w:t> </w:t>
      </w:r>
      <w:r>
        <w:rPr/>
        <w:t>cuenta</w:t>
      </w:r>
      <w:r>
        <w:rPr>
          <w:spacing w:val="38"/>
        </w:rPr>
        <w:t> </w:t>
      </w:r>
      <w:r>
        <w:rPr/>
        <w:t>en</w:t>
      </w:r>
      <w:r>
        <w:rPr>
          <w:spacing w:val="38"/>
        </w:rPr>
        <w:t> </w:t>
      </w:r>
      <w:r>
        <w:rPr/>
        <w:t>el</w:t>
      </w:r>
      <w:r>
        <w:rPr>
          <w:spacing w:val="38"/>
        </w:rPr>
        <w:t> </w:t>
      </w:r>
      <w:r>
        <w:rPr/>
        <w:t>expediente</w:t>
      </w:r>
      <w:r>
        <w:rPr>
          <w:spacing w:val="38"/>
        </w:rPr>
        <w:t> </w:t>
      </w:r>
      <w:r>
        <w:rPr/>
        <w:t>que</w:t>
      </w:r>
      <w:r>
        <w:rPr>
          <w:spacing w:val="39"/>
        </w:rPr>
        <w:t> </w:t>
      </w:r>
      <w:r>
        <w:rPr/>
        <w:t>sirve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base</w:t>
      </w:r>
      <w:r>
        <w:rPr>
          <w:spacing w:val="38"/>
        </w:rPr>
        <w:t> </w:t>
      </w:r>
      <w:r>
        <w:rPr/>
        <w:t>a</w:t>
      </w:r>
      <w:r>
        <w:rPr>
          <w:spacing w:val="39"/>
        </w:rPr>
        <w:t> </w:t>
      </w:r>
      <w:r>
        <w:rPr/>
        <w:t>la</w:t>
      </w:r>
      <w:r>
        <w:rPr>
          <w:spacing w:val="38"/>
        </w:rPr>
        <w:t> </w:t>
      </w:r>
      <w:r>
        <w:rPr/>
        <w:t>presente</w:t>
      </w:r>
      <w:r>
        <w:rPr>
          <w:spacing w:val="38"/>
        </w:rPr>
        <w:t> </w:t>
      </w:r>
      <w:r>
        <w:rPr/>
        <w:t>resolución</w:t>
      </w:r>
      <w:r>
        <w:rPr>
          <w:spacing w:val="38"/>
        </w:rPr>
        <w:t> </w:t>
      </w:r>
      <w:r>
        <w:rPr/>
        <w:t>el</w:t>
      </w:r>
      <w:r>
        <w:rPr>
          <w:spacing w:val="38"/>
        </w:rPr>
        <w:t> </w:t>
      </w:r>
      <w:r>
        <w:rPr/>
        <w:t>procedimiento</w:t>
      </w:r>
      <w:r>
        <w:rPr>
          <w:spacing w:val="39"/>
        </w:rPr>
        <w:t> </w:t>
      </w:r>
      <w:r>
        <w:rPr/>
        <w:t>legalmente</w:t>
      </w:r>
    </w:p>
    <w:p>
      <w:pPr>
        <w:spacing w:after="0"/>
        <w:jc w:val="right"/>
        <w:sectPr>
          <w:pgSz w:w="11910" w:h="16840"/>
          <w:pgMar w:header="985" w:footer="309" w:top="1820" w:bottom="500" w:left="1300" w:right="130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4"/>
        <w:ind w:left="116"/>
      </w:pPr>
      <w:r>
        <w:rPr/>
        <w:t>establecido</w:t>
      </w:r>
    </w:p>
    <w:p>
      <w:pPr>
        <w:pStyle w:val="BodyText"/>
      </w:pPr>
    </w:p>
    <w:p>
      <w:pPr>
        <w:pStyle w:val="BodyText"/>
      </w:pPr>
    </w:p>
    <w:p>
      <w:pPr>
        <w:pStyle w:val="Heading1"/>
        <w:ind w:right="3282"/>
        <w:rPr>
          <w:b w:val="0"/>
        </w:rPr>
      </w:pPr>
      <w:r>
        <w:rPr/>
        <w:t>RESUELVO</w:t>
      </w:r>
      <w:r>
        <w:rPr>
          <w:b w:val="0"/>
        </w:rPr>
        <w:t>:</w:t>
      </w:r>
    </w:p>
    <w:p>
      <w:pPr>
        <w:pStyle w:val="BodyText"/>
      </w:pPr>
    </w:p>
    <w:p>
      <w:pPr>
        <w:pStyle w:val="BodyText"/>
        <w:ind w:left="116" w:right="114" w:firstLine="709"/>
        <w:jc w:val="both"/>
      </w:pPr>
      <w:r>
        <w:rPr>
          <w:b/>
        </w:rPr>
        <w:t>Primero.</w:t>
      </w:r>
      <w:r>
        <w:rPr/>
        <w:t>: Declarar justificado el convenio de colaboración entre el Cabildo de Fuerteventura y</w:t>
      </w:r>
      <w:r>
        <w:rPr>
          <w:spacing w:val="-53"/>
        </w:rPr>
        <w:t> </w:t>
      </w:r>
      <w:r>
        <w:rPr/>
        <w:t>la mercantil Transportes Antonio Díaz Hernández, S.L., para potenciar el uso del transporte público</w:t>
      </w:r>
      <w:r>
        <w:rPr>
          <w:spacing w:val="1"/>
        </w:rPr>
        <w:t> </w:t>
      </w:r>
      <w:r>
        <w:rPr/>
        <w:t>regular de viajeros mediante subvención al usuario residente canario. Periodo 2021, así como sus</w:t>
      </w:r>
      <w:r>
        <w:rPr>
          <w:spacing w:val="1"/>
        </w:rPr>
        <w:t> </w:t>
      </w:r>
      <w:r>
        <w:rPr/>
        <w:t>adendas,</w:t>
      </w:r>
      <w:r>
        <w:rPr>
          <w:spacing w:val="-2"/>
        </w:rPr>
        <w:t> </w:t>
      </w:r>
      <w:r>
        <w:rPr/>
        <w:t>según</w:t>
      </w:r>
      <w:r>
        <w:rPr>
          <w:spacing w:val="-1"/>
        </w:rPr>
        <w:t> </w:t>
      </w:r>
      <w:r>
        <w:rPr/>
        <w:t>resumen mensual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subvenciones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bonos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 adjunta:</w:t>
      </w:r>
    </w:p>
    <w:p>
      <w:pPr>
        <w:pStyle w:val="BodyText"/>
      </w:pPr>
    </w:p>
    <w:tbl>
      <w:tblPr>
        <w:tblW w:w="0" w:type="auto"/>
        <w:jc w:val="left"/>
        <w:tblInd w:w="1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3"/>
        <w:gridCol w:w="1496"/>
      </w:tblGrid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MENSUALIDAD</w:t>
            </w:r>
          </w:p>
        </w:tc>
        <w:tc>
          <w:tcPr>
            <w:tcW w:w="1496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Enero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96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111.935,62€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Febrero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96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112.347,91€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Marzo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96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135.618,04€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Abril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96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127.220,24€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Mayo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96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141.280,44€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Junio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96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146.376,15€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Julio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96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164.203,71€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Agosto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96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170.361,95€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Septiembre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96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187.851,51€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Octubre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96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199.643,84€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Noviembre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96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208.075,00€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Diciembre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96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186.914,61€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657" w:right="6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96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1.891.829,02€</w:t>
            </w:r>
          </w:p>
        </w:tc>
      </w:tr>
    </w:tbl>
    <w:p>
      <w:pPr>
        <w:pStyle w:val="BodyText"/>
      </w:pPr>
    </w:p>
    <w:p>
      <w:pPr>
        <w:pStyle w:val="BodyText"/>
        <w:ind w:left="116" w:right="116" w:firstLine="708"/>
        <w:jc w:val="both"/>
      </w:pPr>
      <w:r>
        <w:rPr>
          <w:b/>
        </w:rPr>
        <w:t>Segundo.</w:t>
      </w:r>
      <w:r>
        <w:rPr/>
        <w:t>: Dar traslado del presente acuerdo a Transportes Antonio Díaz Hernández, SL., y a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Intervención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Fondos 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oportunos.</w:t>
      </w:r>
    </w:p>
    <w:p>
      <w:pPr>
        <w:pStyle w:val="BodyText"/>
      </w:pPr>
    </w:p>
    <w:p>
      <w:pPr>
        <w:pStyle w:val="BodyText"/>
        <w:spacing w:line="276" w:lineRule="auto"/>
        <w:ind w:left="116" w:right="115" w:firstLine="708"/>
        <w:jc w:val="both"/>
      </w:pPr>
      <w:r>
        <w:rPr/>
        <w:t>El presente acto administrativo pone fin a la vía administrativa, y en consecuencia podrá ser</w:t>
      </w:r>
      <w:r>
        <w:rPr>
          <w:spacing w:val="1"/>
        </w:rPr>
        <w:t> </w:t>
      </w:r>
      <w:r>
        <w:rPr/>
        <w:t>recurrido</w:t>
      </w:r>
      <w:r>
        <w:rPr>
          <w:spacing w:val="1"/>
        </w:rPr>
        <w:t> </w:t>
      </w:r>
      <w:r>
        <w:rPr/>
        <w:t>potestativamente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reposición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 o ser impugnado directamente ante el orden jurisdiccional contencioso-administrativo,</w:t>
      </w:r>
      <w:r>
        <w:rPr>
          <w:spacing w:val="1"/>
        </w:rPr>
        <w:t> </w:t>
      </w:r>
      <w:r>
        <w:rPr/>
        <w:t>ante los Juzgados de lo contencioso-administrativo de Las Palmas de Gran Canaria, según disponen</w:t>
      </w:r>
      <w:r>
        <w:rPr>
          <w:spacing w:val="1"/>
        </w:rPr>
        <w:t> </w:t>
      </w:r>
      <w:r>
        <w:rPr/>
        <w:t>los artículos 123 de la ley 39/2015, de 1 de octubre, del procedimiento administrativo común de las</w:t>
      </w:r>
      <w:r>
        <w:rPr>
          <w:spacing w:val="1"/>
        </w:rPr>
        <w:t> </w:t>
      </w:r>
      <w:r>
        <w:rPr/>
        <w:t>administraciones públicas, y 46 de la Ley 29/1998, de 13 de julio, reguladora de la jurisdicción</w:t>
      </w:r>
      <w:r>
        <w:rPr>
          <w:spacing w:val="1"/>
        </w:rPr>
        <w:t> </w:t>
      </w:r>
      <w:r>
        <w:rPr/>
        <w:t>contencioso-administrativa.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76" w:lineRule="auto"/>
        <w:ind w:left="116" w:right="114" w:firstLine="708"/>
        <w:jc w:val="both"/>
      </w:pPr>
      <w:r>
        <w:rPr/>
        <w:t>En su caso, no se podrá interponer recurso contencioso-administrativo hasta que sea resuelto</w:t>
      </w:r>
      <w:r>
        <w:rPr>
          <w:spacing w:val="-53"/>
        </w:rPr>
        <w:t> </w:t>
      </w:r>
      <w:r>
        <w:rPr/>
        <w:t>expresamente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haya</w:t>
      </w:r>
      <w:r>
        <w:rPr>
          <w:spacing w:val="-4"/>
        </w:rPr>
        <w:t> </w:t>
      </w:r>
      <w:r>
        <w:rPr/>
        <w:t>producido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desestimación</w:t>
      </w:r>
      <w:r>
        <w:rPr>
          <w:spacing w:val="-2"/>
        </w:rPr>
        <w:t> </w:t>
      </w:r>
      <w:r>
        <w:rPr/>
        <w:t>presunta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recurso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reposición</w:t>
      </w:r>
      <w:r>
        <w:rPr>
          <w:spacing w:val="-3"/>
        </w:rPr>
        <w:t> </w:t>
      </w:r>
      <w:r>
        <w:rPr/>
        <w:t>interpuesto.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116" w:right="114" w:firstLine="763"/>
        <w:jc w:val="both"/>
      </w:pPr>
      <w:r>
        <w:rPr/>
        <w:t>El plazo para la interposición del recurso de reposición será de un mes. Transcurrido dicho</w:t>
      </w:r>
      <w:r>
        <w:rPr>
          <w:spacing w:val="1"/>
        </w:rPr>
        <w:t> </w:t>
      </w:r>
      <w:r>
        <w:rPr/>
        <w:t>plazo,</w:t>
      </w:r>
      <w:r>
        <w:rPr>
          <w:spacing w:val="23"/>
        </w:rPr>
        <w:t> </w:t>
      </w:r>
      <w:r>
        <w:rPr/>
        <w:t>únicamente</w:t>
      </w:r>
      <w:r>
        <w:rPr>
          <w:spacing w:val="24"/>
        </w:rPr>
        <w:t> </w:t>
      </w:r>
      <w:r>
        <w:rPr/>
        <w:t>podrá</w:t>
      </w:r>
      <w:r>
        <w:rPr>
          <w:spacing w:val="24"/>
        </w:rPr>
        <w:t> </w:t>
      </w:r>
      <w:r>
        <w:rPr/>
        <w:t>interponerse</w:t>
      </w:r>
      <w:r>
        <w:rPr>
          <w:spacing w:val="24"/>
        </w:rPr>
        <w:t> </w:t>
      </w:r>
      <w:r>
        <w:rPr/>
        <w:t>recurso</w:t>
      </w:r>
      <w:r>
        <w:rPr>
          <w:spacing w:val="24"/>
        </w:rPr>
        <w:t> </w:t>
      </w:r>
      <w:r>
        <w:rPr/>
        <w:t>contencioso-administrativo,</w:t>
      </w:r>
      <w:r>
        <w:rPr>
          <w:spacing w:val="24"/>
        </w:rPr>
        <w:t> </w:t>
      </w:r>
      <w:r>
        <w:rPr/>
        <w:t>sin</w:t>
      </w:r>
      <w:r>
        <w:rPr>
          <w:spacing w:val="24"/>
        </w:rPr>
        <w:t> </w:t>
      </w:r>
      <w:r>
        <w:rPr/>
        <w:t>perjuicio,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caso,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procedencia del</w:t>
      </w:r>
      <w:r>
        <w:rPr>
          <w:spacing w:val="-1"/>
        </w:rPr>
        <w:t> </w:t>
      </w:r>
      <w:r>
        <w:rPr/>
        <w:t>recurso</w:t>
      </w:r>
      <w:r>
        <w:rPr>
          <w:spacing w:val="-1"/>
        </w:rPr>
        <w:t> </w:t>
      </w:r>
      <w:r>
        <w:rPr/>
        <w:t>extraordinario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revisión.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116" w:right="115" w:firstLine="708"/>
        <w:jc w:val="both"/>
      </w:pPr>
      <w:r>
        <w:rPr/>
        <w:t>El plazo para interponer el recurso contencioso-administrativo será de dos meses contados</w:t>
      </w:r>
      <w:r>
        <w:rPr>
          <w:spacing w:val="1"/>
        </w:rPr>
        <w:t> </w:t>
      </w:r>
      <w:r>
        <w:rPr/>
        <w:t>desde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notificación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acto.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116"/>
      </w:pPr>
      <w:r>
        <w:rPr/>
        <w:t>Así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manda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firma</w:t>
      </w:r>
      <w:r>
        <w:rPr>
          <w:spacing w:val="-2"/>
        </w:rPr>
        <w:t> </w:t>
      </w:r>
      <w:r>
        <w:rPr/>
        <w:t>el/la</w:t>
      </w:r>
      <w:r>
        <w:rPr>
          <w:spacing w:val="-3"/>
        </w:rPr>
        <w:t> </w:t>
      </w:r>
      <w:r>
        <w:rPr/>
        <w:t>Sr/Sra.</w:t>
      </w:r>
      <w:r>
        <w:rPr>
          <w:spacing w:val="-3"/>
        </w:rPr>
        <w:t> </w:t>
      </w:r>
      <w:r>
        <w:rPr/>
        <w:t>Consejero/a</w:t>
      </w:r>
      <w:r>
        <w:rPr>
          <w:spacing w:val="-3"/>
        </w:rPr>
        <w:t> </w:t>
      </w:r>
      <w:r>
        <w:rPr/>
        <w:t>Insular</w:t>
      </w:r>
      <w:r>
        <w:rPr>
          <w:spacing w:val="-2"/>
        </w:rPr>
        <w:t> </w:t>
      </w:r>
      <w:r>
        <w:rPr/>
        <w:t>Delegado/a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Cabildo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Fuerteventura.</w:t>
      </w:r>
    </w:p>
    <w:p>
      <w:pPr>
        <w:spacing w:after="0"/>
        <w:sectPr>
          <w:pgSz w:w="11910" w:h="16840"/>
          <w:pgMar w:header="985" w:footer="309" w:top="1820" w:bottom="50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spacing w:line="211" w:lineRule="auto" w:before="120"/>
        <w:ind w:left="3120" w:right="2722" w:firstLine="0"/>
        <w:jc w:val="left"/>
        <w:rPr>
          <w:sz w:val="21"/>
        </w:rPr>
      </w:pPr>
      <w:r>
        <w:rPr>
          <w:sz w:val="21"/>
        </w:rPr>
        <w:t>Firmado</w:t>
      </w:r>
      <w:r>
        <w:rPr>
          <w:spacing w:val="3"/>
          <w:sz w:val="21"/>
        </w:rPr>
        <w:t> </w:t>
      </w:r>
      <w:r>
        <w:rPr>
          <w:sz w:val="21"/>
        </w:rPr>
        <w:t>electrónicamente</w:t>
      </w:r>
      <w:r>
        <w:rPr>
          <w:spacing w:val="3"/>
          <w:sz w:val="21"/>
        </w:rPr>
        <w:t> </w:t>
      </w:r>
      <w:r>
        <w:rPr>
          <w:sz w:val="21"/>
        </w:rPr>
        <w:t>por</w:t>
      </w:r>
      <w:r>
        <w:rPr>
          <w:spacing w:val="3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Sello</w:t>
      </w:r>
      <w:r>
        <w:rPr>
          <w:spacing w:val="6"/>
          <w:sz w:val="21"/>
        </w:rPr>
        <w:t> </w:t>
      </w:r>
      <w:r>
        <w:rPr>
          <w:sz w:val="21"/>
        </w:rPr>
        <w:t>del</w:t>
      </w:r>
      <w:r>
        <w:rPr>
          <w:spacing w:val="6"/>
          <w:sz w:val="21"/>
        </w:rPr>
        <w:t> </w:t>
      </w:r>
      <w:r>
        <w:rPr>
          <w:sz w:val="21"/>
        </w:rPr>
        <w:t>Cabildo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Fuerteventura.</w:t>
      </w:r>
      <w:r>
        <w:rPr>
          <w:spacing w:val="-55"/>
          <w:sz w:val="21"/>
        </w:rPr>
        <w:t> </w:t>
      </w:r>
      <w:r>
        <w:rPr>
          <w:sz w:val="21"/>
        </w:rPr>
        <w:t>El</w:t>
      </w:r>
      <w:r>
        <w:rPr>
          <w:spacing w:val="2"/>
          <w:sz w:val="21"/>
        </w:rPr>
        <w:t> </w:t>
      </w:r>
      <w:r>
        <w:rPr>
          <w:sz w:val="21"/>
        </w:rPr>
        <w:t>día</w:t>
      </w:r>
      <w:r>
        <w:rPr>
          <w:spacing w:val="2"/>
          <w:sz w:val="21"/>
        </w:rPr>
        <w:t> </w:t>
      </w:r>
      <w:r>
        <w:rPr>
          <w:sz w:val="21"/>
        </w:rPr>
        <w:t>18/02/2022</w:t>
      </w:r>
      <w:r>
        <w:rPr>
          <w:spacing w:val="3"/>
          <w:sz w:val="21"/>
        </w:rPr>
        <w:t> </w:t>
      </w:r>
      <w:r>
        <w:rPr>
          <w:sz w:val="21"/>
        </w:rPr>
        <w:t>a</w:t>
      </w:r>
      <w:r>
        <w:rPr>
          <w:spacing w:val="2"/>
          <w:sz w:val="21"/>
        </w:rPr>
        <w:t> </w:t>
      </w:r>
      <w:r>
        <w:rPr>
          <w:sz w:val="21"/>
        </w:rPr>
        <w:t>las</w:t>
      </w:r>
      <w:r>
        <w:rPr>
          <w:spacing w:val="2"/>
          <w:sz w:val="21"/>
        </w:rPr>
        <w:t> </w:t>
      </w:r>
      <w:r>
        <w:rPr>
          <w:sz w:val="21"/>
        </w:rPr>
        <w:t>7:47:47.</w:t>
      </w:r>
    </w:p>
    <w:sectPr>
      <w:pgSz w:w="11910" w:h="16840"/>
      <w:pgMar w:header="985" w:footer="309" w:top="1820" w:bottom="5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70.349998pt;margin-top:812.450012pt;width:454.5pt;height:29.45pt;mso-position-horizontal-relative:page;mso-position-vertical-relative:page;z-index:-15854080" coordorigin="1407,16249" coordsize="9090,589">
          <v:line style="position:absolute" from="1417,16269" to="1417,16818" stroked="true" strokeweight="1pt" strokecolor="#000000">
            <v:stroke dashstyle="solid"/>
          </v:line>
          <v:line style="position:absolute" from="10487,16269" to="10487,16818" stroked="true" strokeweight="1pt" strokecolor="#000000">
            <v:stroke dashstyle="solid"/>
          </v:line>
          <v:line style="position:absolute" from="1407,16259" to="10497,16259" stroked="true" strokeweight="1pt" strokecolor="#000000">
            <v:stroke dashstyle="solid"/>
          </v:line>
          <v:line style="position:absolute" from="1407,16828" to="10497,16828" stroked="true" strokeweight="1pt" strokecolor="#0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599998pt;margin-top:815.461853pt;width:448.6pt;height:20.150pt;mso-position-horizontal-relative:page;mso-position-vertical-relative:page;z-index:-158535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Documento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firmado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electrónicamente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(RD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203/2021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30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marzo).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La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autenticidad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este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documento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puede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ser</w:t>
                </w:r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comprobada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mediante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el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CSV: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14156515001703333531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en</w:t>
                </w:r>
                <w:r>
                  <w:rPr>
                    <w:spacing w:val="-2"/>
                    <w:sz w:val="16"/>
                  </w:rPr>
                  <w:t> </w:t>
                </w:r>
                <w:hyperlink r:id="rId1">
                  <w:r>
                    <w:rPr>
                      <w:sz w:val="16"/>
                    </w:rPr>
                    <w:t>http://sede.cabildofuer.es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1888">
          <wp:simplePos x="0" y="0"/>
          <wp:positionH relativeFrom="page">
            <wp:posOffset>591819</wp:posOffset>
          </wp:positionH>
          <wp:positionV relativeFrom="page">
            <wp:posOffset>625462</wp:posOffset>
          </wp:positionV>
          <wp:extent cx="1652692" cy="53333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2692" cy="533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34" w:hanging="360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1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9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6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7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282" w:right="186"/>
      <w:jc w:val="center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66"/>
      <w:ind w:left="200" w:right="36"/>
    </w:pPr>
    <w:rPr>
      <w:rFonts w:ascii="Arial" w:hAnsi="Arial" w:eastAsia="Arial" w:cs="Arial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4" w:hanging="360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de.cabildofuer.es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2022-06-27T14:35:40Z</dcterms:created>
  <dcterms:modified xsi:type="dcterms:W3CDTF">2022-06-27T14:35:40Z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2022-06-27T00:00:00Z</vt:filetime>
  </property>
</Properties>
</file>